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C88DDD" w14:textId="77777777" w:rsidR="009E7D1B" w:rsidRDefault="009E7D1B">
      <w:pPr>
        <w:pStyle w:val="BodyText"/>
        <w:spacing w:before="89"/>
        <w:rPr>
          <w:rFonts w:ascii="Times New Roman"/>
          <w:sz w:val="20"/>
        </w:rPr>
      </w:pPr>
    </w:p>
    <w:p w14:paraId="41C88DDE" w14:textId="77777777" w:rsidR="009E7D1B" w:rsidRDefault="00A87D78">
      <w:pPr>
        <w:ind w:left="101"/>
        <w:rPr>
          <w:rFonts w:ascii="Times New Roman"/>
          <w:sz w:val="20"/>
        </w:rPr>
      </w:pPr>
      <w:r>
        <w:rPr>
          <w:rFonts w:ascii="Times New Roman"/>
          <w:noProof/>
          <w:sz w:val="20"/>
        </w:rPr>
        <w:drawing>
          <wp:inline distT="0" distB="0" distL="0" distR="0" wp14:anchorId="41C88F61" wp14:editId="41C88F62">
            <wp:extent cx="1842988" cy="646176"/>
            <wp:effectExtent l="0" t="0" r="0" b="0"/>
            <wp:docPr id="2" name="Image 2" descr="Description: USY_MB1_RGB_1_Colour_Standard_Logo.jpg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descr="Description: USY_MB1_RGB_1_Colour_Standard_Logo.jpg "/>
                    <pic:cNvPicPr/>
                  </pic:nvPicPr>
                  <pic:blipFill>
                    <a:blip r:embed="rId7" cstate="print"/>
                    <a:stretch>
                      <a:fillRect/>
                    </a:stretch>
                  </pic:blipFill>
                  <pic:spPr>
                    <a:xfrm>
                      <a:off x="0" y="0"/>
                      <a:ext cx="1842988" cy="646176"/>
                    </a:xfrm>
                    <a:prstGeom prst="rect">
                      <a:avLst/>
                    </a:prstGeom>
                  </pic:spPr>
                </pic:pic>
              </a:graphicData>
            </a:graphic>
          </wp:inline>
        </w:drawing>
      </w:r>
    </w:p>
    <w:p w14:paraId="41C88DDF" w14:textId="77777777" w:rsidR="009E7D1B" w:rsidRDefault="009E7D1B">
      <w:pPr>
        <w:pStyle w:val="BodyText"/>
        <w:spacing w:before="70"/>
        <w:rPr>
          <w:rFonts w:ascii="Times New Roman"/>
          <w:sz w:val="96"/>
        </w:rPr>
      </w:pPr>
    </w:p>
    <w:p w14:paraId="41C88DE0" w14:textId="2525FF7C" w:rsidR="009E7D1B" w:rsidRDefault="00A87D78">
      <w:pPr>
        <w:pStyle w:val="Title"/>
      </w:pPr>
      <w:r>
        <w:rPr>
          <w:color w:val="E64625"/>
        </w:rPr>
        <w:t xml:space="preserve">Submission </w:t>
      </w:r>
      <w:r w:rsidR="00787F78">
        <w:rPr>
          <w:color w:val="E64625"/>
        </w:rPr>
        <w:t xml:space="preserve">on the Exposure Draft of the </w:t>
      </w:r>
      <w:r w:rsidR="00BC42E7">
        <w:rPr>
          <w:color w:val="E64625"/>
        </w:rPr>
        <w:t>Children</w:t>
      </w:r>
      <w:r w:rsidR="005E76ED">
        <w:rPr>
          <w:color w:val="E64625"/>
        </w:rPr>
        <w:t>’</w:t>
      </w:r>
      <w:r w:rsidR="00BC42E7">
        <w:rPr>
          <w:color w:val="E64625"/>
        </w:rPr>
        <w:t>s Online Privacy</w:t>
      </w:r>
      <w:r w:rsidR="00D351D9">
        <w:rPr>
          <w:color w:val="E64625"/>
        </w:rPr>
        <w:t xml:space="preserve"> </w:t>
      </w:r>
      <w:r w:rsidR="00BC42E7">
        <w:rPr>
          <w:color w:val="E64625"/>
        </w:rPr>
        <w:t>Code</w:t>
      </w:r>
      <w:r w:rsidR="00D351D9">
        <w:rPr>
          <w:color w:val="E64625"/>
        </w:rPr>
        <w:t xml:space="preserve"> 2026</w:t>
      </w:r>
    </w:p>
    <w:p w14:paraId="41C88DE1" w14:textId="77777777" w:rsidR="009E7D1B" w:rsidRDefault="009E7D1B">
      <w:pPr>
        <w:pStyle w:val="BodyText"/>
        <w:spacing w:before="1"/>
        <w:rPr>
          <w:b/>
          <w:sz w:val="96"/>
        </w:rPr>
      </w:pPr>
    </w:p>
    <w:p w14:paraId="41C88DE6" w14:textId="77777777" w:rsidR="009E7D1B" w:rsidRDefault="009E7D1B">
      <w:pPr>
        <w:pStyle w:val="BodyText"/>
        <w:spacing w:before="251"/>
      </w:pPr>
    </w:p>
    <w:p w14:paraId="34A378E1" w14:textId="4DA9CCE9" w:rsidR="000A77FB" w:rsidRDefault="002900D1" w:rsidP="002B5B48">
      <w:pPr>
        <w:shd w:val="clear" w:color="auto" w:fill="FFFFFF" w:themeFill="background1"/>
      </w:pPr>
      <w:r w:rsidRPr="3D5C7562">
        <w:rPr>
          <w:color w:val="111111"/>
        </w:rPr>
        <w:t xml:space="preserve">This is </w:t>
      </w:r>
      <w:r w:rsidR="329D5EAB" w:rsidRPr="3D5C7562">
        <w:rPr>
          <w:color w:val="111111"/>
        </w:rPr>
        <w:t xml:space="preserve">a </w:t>
      </w:r>
      <w:r w:rsidRPr="3D5C7562">
        <w:rPr>
          <w:color w:val="111111"/>
        </w:rPr>
        <w:t xml:space="preserve">submission made </w:t>
      </w:r>
      <w:r w:rsidR="789D3FA4" w:rsidRPr="3D5C7562">
        <w:rPr>
          <w:color w:val="111111"/>
        </w:rPr>
        <w:t>by</w:t>
      </w:r>
      <w:r w:rsidRPr="3D5C7562">
        <w:rPr>
          <w:color w:val="111111"/>
        </w:rPr>
        <w:t xml:space="preserve"> academics from </w:t>
      </w:r>
      <w:proofErr w:type="gramStart"/>
      <w:r w:rsidRPr="3D5C7562">
        <w:rPr>
          <w:color w:val="111111"/>
        </w:rPr>
        <w:t>a number of</w:t>
      </w:r>
      <w:proofErr w:type="gramEnd"/>
      <w:r w:rsidRPr="3D5C7562">
        <w:rPr>
          <w:color w:val="111111"/>
        </w:rPr>
        <w:t xml:space="preserve"> faculties across the University of Sydney including the </w:t>
      </w:r>
      <w:r w:rsidR="00A87D78">
        <w:t>Faculty of Arts and Social Sciences</w:t>
      </w:r>
      <w:r w:rsidR="04238C1D">
        <w:t xml:space="preserve">; </w:t>
      </w:r>
      <w:r w:rsidR="000A77FB">
        <w:t>Architecture, Design and Planning</w:t>
      </w:r>
      <w:r w:rsidR="528099CD">
        <w:t>;</w:t>
      </w:r>
      <w:r w:rsidR="00A87D78">
        <w:t xml:space="preserve"> </w:t>
      </w:r>
      <w:r w:rsidR="00397EFB">
        <w:t>and</w:t>
      </w:r>
      <w:r w:rsidR="000A77FB">
        <w:t xml:space="preserve"> Medicine and Health</w:t>
      </w:r>
    </w:p>
    <w:p w14:paraId="5D82D638" w14:textId="77777777" w:rsidR="000A77FB" w:rsidRDefault="000A77FB" w:rsidP="00397EFB">
      <w:pPr>
        <w:pStyle w:val="BodyText"/>
      </w:pPr>
    </w:p>
    <w:p w14:paraId="7058BC43" w14:textId="77777777" w:rsidR="008A1DC0" w:rsidRDefault="008A1DC0" w:rsidP="008A1DC0">
      <w:pPr>
        <w:pStyle w:val="BodyText"/>
        <w:ind w:right="4918"/>
      </w:pPr>
      <w:r>
        <w:t>The University of Sydney</w:t>
      </w:r>
    </w:p>
    <w:p w14:paraId="173B4EFA" w14:textId="7694A2BE" w:rsidR="008A1DC0" w:rsidRDefault="0032668F" w:rsidP="008A1DC0">
      <w:pPr>
        <w:pStyle w:val="BodyText"/>
        <w:spacing w:before="1"/>
      </w:pPr>
      <w:r>
        <w:t>30</w:t>
      </w:r>
      <w:r w:rsidR="008A1DC0">
        <w:t xml:space="preserve"> May 2026</w:t>
      </w:r>
    </w:p>
    <w:p w14:paraId="68726777" w14:textId="3BE1D654" w:rsidR="008A1DC0" w:rsidRDefault="008A1DC0" w:rsidP="00397EFB">
      <w:pPr>
        <w:pStyle w:val="BodyText"/>
        <w:sectPr w:rsidR="008A1DC0" w:rsidSect="00397EFB">
          <w:footerReference w:type="even" r:id="rId8"/>
          <w:pgSz w:w="11910" w:h="16820"/>
          <w:pgMar w:top="1417" w:right="1417" w:bottom="567" w:left="1417" w:header="0" w:footer="0" w:gutter="0"/>
          <w:pgNumType w:start="1"/>
          <w:cols w:space="720"/>
        </w:sectPr>
      </w:pPr>
    </w:p>
    <w:p w14:paraId="0043629B" w14:textId="07F8314D" w:rsidR="00074456" w:rsidRDefault="00074456" w:rsidP="00074456">
      <w:pPr>
        <w:pStyle w:val="BodyText"/>
        <w:ind w:right="4918"/>
      </w:pPr>
    </w:p>
    <w:p w14:paraId="558E87DB" w14:textId="77777777" w:rsidR="00FC5854" w:rsidRDefault="00A87D78" w:rsidP="00FC5854">
      <w:pPr>
        <w:pStyle w:val="Heading1"/>
        <w:spacing w:before="334"/>
        <w:rPr>
          <w:spacing w:val="-2"/>
        </w:rPr>
      </w:pPr>
      <w:bookmarkStart w:id="0" w:name="_TOC_250010"/>
      <w:bookmarkStart w:id="1" w:name="_Toc230294334"/>
      <w:bookmarkStart w:id="2" w:name="_Toc230295207"/>
      <w:bookmarkStart w:id="3" w:name="_Toc230296669"/>
      <w:bookmarkStart w:id="4" w:name="_Toc230895706"/>
      <w:bookmarkStart w:id="5" w:name="_Toc230895962"/>
      <w:bookmarkStart w:id="6" w:name="_Toc230896244"/>
      <w:r>
        <w:t>Table</w:t>
      </w:r>
      <w:r>
        <w:rPr>
          <w:spacing w:val="-2"/>
        </w:rPr>
        <w:t xml:space="preserve"> </w:t>
      </w:r>
      <w:r>
        <w:t>of</w:t>
      </w:r>
      <w:r>
        <w:rPr>
          <w:spacing w:val="-3"/>
        </w:rPr>
        <w:t xml:space="preserve"> </w:t>
      </w:r>
      <w:bookmarkEnd w:id="0"/>
      <w:r>
        <w:rPr>
          <w:spacing w:val="-2"/>
        </w:rPr>
        <w:t>Contents</w:t>
      </w:r>
      <w:bookmarkEnd w:id="1"/>
      <w:bookmarkEnd w:id="2"/>
      <w:bookmarkEnd w:id="3"/>
      <w:bookmarkEnd w:id="4"/>
      <w:bookmarkEnd w:id="5"/>
      <w:bookmarkEnd w:id="6"/>
    </w:p>
    <w:p w14:paraId="10AC80BB" w14:textId="5FE4B722" w:rsidR="00483B97" w:rsidRDefault="00F213ED" w:rsidP="00483B97">
      <w:pPr>
        <w:pStyle w:val="TOC1"/>
        <w:tabs>
          <w:tab w:val="right" w:leader="dot" w:pos="8783"/>
        </w:tabs>
        <w:rPr>
          <w:rFonts w:asciiTheme="minorHAnsi" w:eastAsiaTheme="minorEastAsia" w:hAnsiTheme="minorHAnsi" w:cstheme="minorBidi"/>
          <w:b w:val="0"/>
          <w:bCs w:val="0"/>
          <w:caps w:val="0"/>
          <w:noProof/>
          <w:kern w:val="2"/>
          <w:lang w:val="en-AU" w:eastAsia="en-GB"/>
          <w14:ligatures w14:val="standardContextual"/>
        </w:rPr>
      </w:pPr>
      <w:r>
        <w:rPr>
          <w:rFonts w:ascii="Arial" w:hAnsi="Arial"/>
          <w:caps w:val="0"/>
          <w:sz w:val="20"/>
          <w:szCs w:val="20"/>
        </w:rPr>
        <w:fldChar w:fldCharType="begin"/>
      </w:r>
      <w:r>
        <w:rPr>
          <w:rFonts w:ascii="Arial" w:hAnsi="Arial"/>
          <w:caps w:val="0"/>
          <w:sz w:val="20"/>
          <w:szCs w:val="20"/>
        </w:rPr>
        <w:instrText xml:space="preserve"> TOC \o "1-3" \h \z \u </w:instrText>
      </w:r>
      <w:r>
        <w:rPr>
          <w:rFonts w:ascii="Arial" w:hAnsi="Arial"/>
          <w:caps w:val="0"/>
          <w:sz w:val="20"/>
          <w:szCs w:val="20"/>
        </w:rPr>
        <w:fldChar w:fldCharType="separate"/>
      </w:r>
    </w:p>
    <w:p w14:paraId="44D3495E" w14:textId="5CCBA554" w:rsidR="00483B97" w:rsidRPr="00483B97" w:rsidRDefault="00483B97">
      <w:pPr>
        <w:pStyle w:val="TOC1"/>
        <w:tabs>
          <w:tab w:val="right" w:leader="dot" w:pos="8783"/>
        </w:tabs>
        <w:rPr>
          <w:rFonts w:ascii="Arial" w:eastAsiaTheme="minorEastAsia" w:hAnsi="Arial"/>
          <w:b w:val="0"/>
          <w:bCs w:val="0"/>
          <w:caps w:val="0"/>
          <w:noProof/>
          <w:kern w:val="2"/>
          <w:lang w:val="en-AU" w:eastAsia="en-GB"/>
          <w14:ligatures w14:val="standardContextual"/>
        </w:rPr>
      </w:pPr>
      <w:hyperlink w:anchor="_Toc230896246" w:history="1">
        <w:r w:rsidRPr="00483B97">
          <w:rPr>
            <w:rStyle w:val="Hyperlink"/>
            <w:rFonts w:ascii="Arial" w:hAnsi="Arial"/>
            <w:b w:val="0"/>
            <w:bCs w:val="0"/>
            <w:noProof/>
          </w:rPr>
          <w:t>List of Recommendations</w:t>
        </w:r>
        <w:r w:rsidRPr="00483B97">
          <w:rPr>
            <w:rFonts w:ascii="Arial" w:hAnsi="Arial"/>
            <w:b w:val="0"/>
            <w:bCs w:val="0"/>
            <w:noProof/>
            <w:webHidden/>
          </w:rPr>
          <w:tab/>
        </w:r>
        <w:r w:rsidRPr="00483B97">
          <w:rPr>
            <w:rFonts w:ascii="Arial" w:hAnsi="Arial"/>
            <w:b w:val="0"/>
            <w:bCs w:val="0"/>
            <w:noProof/>
            <w:webHidden/>
          </w:rPr>
          <w:fldChar w:fldCharType="begin"/>
        </w:r>
        <w:r w:rsidRPr="00483B97">
          <w:rPr>
            <w:rFonts w:ascii="Arial" w:hAnsi="Arial"/>
            <w:b w:val="0"/>
            <w:bCs w:val="0"/>
            <w:noProof/>
            <w:webHidden/>
          </w:rPr>
          <w:instrText xml:space="preserve"> PAGEREF _Toc230896246 \h </w:instrText>
        </w:r>
        <w:r w:rsidRPr="00483B97">
          <w:rPr>
            <w:rFonts w:ascii="Arial" w:hAnsi="Arial"/>
            <w:b w:val="0"/>
            <w:bCs w:val="0"/>
            <w:noProof/>
            <w:webHidden/>
          </w:rPr>
        </w:r>
        <w:r w:rsidRPr="00483B97">
          <w:rPr>
            <w:rFonts w:ascii="Arial" w:hAnsi="Arial"/>
            <w:b w:val="0"/>
            <w:bCs w:val="0"/>
            <w:noProof/>
            <w:webHidden/>
          </w:rPr>
          <w:fldChar w:fldCharType="separate"/>
        </w:r>
        <w:r w:rsidR="00A6565F">
          <w:rPr>
            <w:rFonts w:ascii="Arial" w:hAnsi="Arial"/>
            <w:b w:val="0"/>
            <w:bCs w:val="0"/>
            <w:noProof/>
            <w:webHidden/>
          </w:rPr>
          <w:t>5</w:t>
        </w:r>
        <w:r w:rsidRPr="00483B97">
          <w:rPr>
            <w:rFonts w:ascii="Arial" w:hAnsi="Arial"/>
            <w:b w:val="0"/>
            <w:bCs w:val="0"/>
            <w:noProof/>
            <w:webHidden/>
          </w:rPr>
          <w:fldChar w:fldCharType="end"/>
        </w:r>
      </w:hyperlink>
    </w:p>
    <w:p w14:paraId="78B28744" w14:textId="17B8DD33" w:rsidR="00483B97" w:rsidRPr="00483B97" w:rsidRDefault="00483B97">
      <w:pPr>
        <w:pStyle w:val="TOC1"/>
        <w:tabs>
          <w:tab w:val="right" w:leader="dot" w:pos="8783"/>
        </w:tabs>
        <w:rPr>
          <w:rFonts w:ascii="Arial" w:eastAsiaTheme="minorEastAsia" w:hAnsi="Arial"/>
          <w:b w:val="0"/>
          <w:bCs w:val="0"/>
          <w:caps w:val="0"/>
          <w:noProof/>
          <w:kern w:val="2"/>
          <w:lang w:val="en-AU" w:eastAsia="en-GB"/>
          <w14:ligatures w14:val="standardContextual"/>
        </w:rPr>
      </w:pPr>
      <w:hyperlink w:anchor="_Toc230896247" w:history="1">
        <w:r w:rsidRPr="00483B97">
          <w:rPr>
            <w:rStyle w:val="Hyperlink"/>
            <w:rFonts w:ascii="Arial" w:hAnsi="Arial"/>
            <w:b w:val="0"/>
            <w:bCs w:val="0"/>
            <w:noProof/>
            <w:spacing w:val="-2"/>
          </w:rPr>
          <w:t>Introduction</w:t>
        </w:r>
        <w:r w:rsidRPr="00483B97">
          <w:rPr>
            <w:rFonts w:ascii="Arial" w:hAnsi="Arial"/>
            <w:b w:val="0"/>
            <w:bCs w:val="0"/>
            <w:noProof/>
            <w:webHidden/>
          </w:rPr>
          <w:tab/>
        </w:r>
        <w:r w:rsidRPr="00483B97">
          <w:rPr>
            <w:rFonts w:ascii="Arial" w:hAnsi="Arial"/>
            <w:b w:val="0"/>
            <w:bCs w:val="0"/>
            <w:noProof/>
            <w:webHidden/>
          </w:rPr>
          <w:fldChar w:fldCharType="begin"/>
        </w:r>
        <w:r w:rsidRPr="00483B97">
          <w:rPr>
            <w:rFonts w:ascii="Arial" w:hAnsi="Arial"/>
            <w:b w:val="0"/>
            <w:bCs w:val="0"/>
            <w:noProof/>
            <w:webHidden/>
          </w:rPr>
          <w:instrText xml:space="preserve"> PAGEREF _Toc230896247 \h </w:instrText>
        </w:r>
        <w:r w:rsidRPr="00483B97">
          <w:rPr>
            <w:rFonts w:ascii="Arial" w:hAnsi="Arial"/>
            <w:b w:val="0"/>
            <w:bCs w:val="0"/>
            <w:noProof/>
            <w:webHidden/>
          </w:rPr>
        </w:r>
        <w:r w:rsidRPr="00483B97">
          <w:rPr>
            <w:rFonts w:ascii="Arial" w:hAnsi="Arial"/>
            <w:b w:val="0"/>
            <w:bCs w:val="0"/>
            <w:noProof/>
            <w:webHidden/>
          </w:rPr>
          <w:fldChar w:fldCharType="separate"/>
        </w:r>
        <w:r w:rsidR="00A6565F">
          <w:rPr>
            <w:rFonts w:ascii="Arial" w:hAnsi="Arial"/>
            <w:b w:val="0"/>
            <w:bCs w:val="0"/>
            <w:noProof/>
            <w:webHidden/>
          </w:rPr>
          <w:t>6</w:t>
        </w:r>
        <w:r w:rsidRPr="00483B97">
          <w:rPr>
            <w:rFonts w:ascii="Arial" w:hAnsi="Arial"/>
            <w:b w:val="0"/>
            <w:bCs w:val="0"/>
            <w:noProof/>
            <w:webHidden/>
          </w:rPr>
          <w:fldChar w:fldCharType="end"/>
        </w:r>
      </w:hyperlink>
    </w:p>
    <w:p w14:paraId="73FC4006" w14:textId="2A8256DF" w:rsidR="00483B97" w:rsidRPr="00483B97" w:rsidRDefault="00483B97">
      <w:pPr>
        <w:pStyle w:val="TOC1"/>
        <w:tabs>
          <w:tab w:val="right" w:leader="dot" w:pos="8783"/>
        </w:tabs>
        <w:rPr>
          <w:rFonts w:ascii="Arial" w:eastAsiaTheme="minorEastAsia" w:hAnsi="Arial"/>
          <w:b w:val="0"/>
          <w:bCs w:val="0"/>
          <w:caps w:val="0"/>
          <w:noProof/>
          <w:kern w:val="2"/>
          <w:lang w:val="en-AU" w:eastAsia="en-GB"/>
          <w14:ligatures w14:val="standardContextual"/>
        </w:rPr>
      </w:pPr>
      <w:hyperlink w:anchor="_Toc230896248" w:history="1">
        <w:r w:rsidRPr="00483B97">
          <w:rPr>
            <w:rStyle w:val="Hyperlink"/>
            <w:rFonts w:ascii="Arial" w:hAnsi="Arial"/>
            <w:b w:val="0"/>
            <w:bCs w:val="0"/>
            <w:noProof/>
          </w:rPr>
          <w:t>The data market for children’s personal information</w:t>
        </w:r>
        <w:r w:rsidRPr="00483B97">
          <w:rPr>
            <w:rFonts w:ascii="Arial" w:hAnsi="Arial"/>
            <w:b w:val="0"/>
            <w:bCs w:val="0"/>
            <w:noProof/>
            <w:webHidden/>
          </w:rPr>
          <w:tab/>
        </w:r>
        <w:r w:rsidRPr="00483B97">
          <w:rPr>
            <w:rFonts w:ascii="Arial" w:hAnsi="Arial"/>
            <w:b w:val="0"/>
            <w:bCs w:val="0"/>
            <w:noProof/>
            <w:webHidden/>
          </w:rPr>
          <w:fldChar w:fldCharType="begin"/>
        </w:r>
        <w:r w:rsidRPr="00483B97">
          <w:rPr>
            <w:rFonts w:ascii="Arial" w:hAnsi="Arial"/>
            <w:b w:val="0"/>
            <w:bCs w:val="0"/>
            <w:noProof/>
            <w:webHidden/>
          </w:rPr>
          <w:instrText xml:space="preserve"> PAGEREF _Toc230896248 \h </w:instrText>
        </w:r>
        <w:r w:rsidRPr="00483B97">
          <w:rPr>
            <w:rFonts w:ascii="Arial" w:hAnsi="Arial"/>
            <w:b w:val="0"/>
            <w:bCs w:val="0"/>
            <w:noProof/>
            <w:webHidden/>
          </w:rPr>
        </w:r>
        <w:r w:rsidRPr="00483B97">
          <w:rPr>
            <w:rFonts w:ascii="Arial" w:hAnsi="Arial"/>
            <w:b w:val="0"/>
            <w:bCs w:val="0"/>
            <w:noProof/>
            <w:webHidden/>
          </w:rPr>
          <w:fldChar w:fldCharType="separate"/>
        </w:r>
        <w:r w:rsidR="00A6565F">
          <w:rPr>
            <w:rFonts w:ascii="Arial" w:hAnsi="Arial"/>
            <w:b w:val="0"/>
            <w:bCs w:val="0"/>
            <w:noProof/>
            <w:webHidden/>
          </w:rPr>
          <w:t>6</w:t>
        </w:r>
        <w:r w:rsidRPr="00483B97">
          <w:rPr>
            <w:rFonts w:ascii="Arial" w:hAnsi="Arial"/>
            <w:b w:val="0"/>
            <w:bCs w:val="0"/>
            <w:noProof/>
            <w:webHidden/>
          </w:rPr>
          <w:fldChar w:fldCharType="end"/>
        </w:r>
      </w:hyperlink>
    </w:p>
    <w:p w14:paraId="2F311DD7" w14:textId="41CB10E1" w:rsidR="00483B97" w:rsidRPr="00483B97" w:rsidRDefault="00483B97">
      <w:pPr>
        <w:pStyle w:val="TOC1"/>
        <w:tabs>
          <w:tab w:val="right" w:leader="dot" w:pos="8783"/>
        </w:tabs>
        <w:rPr>
          <w:rFonts w:ascii="Arial" w:eastAsiaTheme="minorEastAsia" w:hAnsi="Arial"/>
          <w:b w:val="0"/>
          <w:bCs w:val="0"/>
          <w:caps w:val="0"/>
          <w:noProof/>
          <w:kern w:val="2"/>
          <w:lang w:val="en-AU" w:eastAsia="en-GB"/>
          <w14:ligatures w14:val="standardContextual"/>
        </w:rPr>
      </w:pPr>
      <w:hyperlink w:anchor="_Toc230896249" w:history="1">
        <w:r w:rsidRPr="00483B97">
          <w:rPr>
            <w:rStyle w:val="Hyperlink"/>
            <w:rFonts w:ascii="Arial" w:hAnsi="Arial"/>
            <w:b w:val="0"/>
            <w:bCs w:val="0"/>
            <w:noProof/>
          </w:rPr>
          <w:t>Accessibility for children with disabilities</w:t>
        </w:r>
        <w:r w:rsidRPr="00483B97">
          <w:rPr>
            <w:rFonts w:ascii="Arial" w:hAnsi="Arial"/>
            <w:b w:val="0"/>
            <w:bCs w:val="0"/>
            <w:noProof/>
            <w:webHidden/>
          </w:rPr>
          <w:tab/>
        </w:r>
        <w:r w:rsidRPr="00483B97">
          <w:rPr>
            <w:rFonts w:ascii="Arial" w:hAnsi="Arial"/>
            <w:b w:val="0"/>
            <w:bCs w:val="0"/>
            <w:noProof/>
            <w:webHidden/>
          </w:rPr>
          <w:fldChar w:fldCharType="begin"/>
        </w:r>
        <w:r w:rsidRPr="00483B97">
          <w:rPr>
            <w:rFonts w:ascii="Arial" w:hAnsi="Arial"/>
            <w:b w:val="0"/>
            <w:bCs w:val="0"/>
            <w:noProof/>
            <w:webHidden/>
          </w:rPr>
          <w:instrText xml:space="preserve"> PAGEREF _Toc230896249 \h </w:instrText>
        </w:r>
        <w:r w:rsidRPr="00483B97">
          <w:rPr>
            <w:rFonts w:ascii="Arial" w:hAnsi="Arial"/>
            <w:b w:val="0"/>
            <w:bCs w:val="0"/>
            <w:noProof/>
            <w:webHidden/>
          </w:rPr>
        </w:r>
        <w:r w:rsidRPr="00483B97">
          <w:rPr>
            <w:rFonts w:ascii="Arial" w:hAnsi="Arial"/>
            <w:b w:val="0"/>
            <w:bCs w:val="0"/>
            <w:noProof/>
            <w:webHidden/>
          </w:rPr>
          <w:fldChar w:fldCharType="separate"/>
        </w:r>
        <w:r w:rsidR="00A6565F">
          <w:rPr>
            <w:rFonts w:ascii="Arial" w:hAnsi="Arial"/>
            <w:b w:val="0"/>
            <w:bCs w:val="0"/>
            <w:noProof/>
            <w:webHidden/>
          </w:rPr>
          <w:t>7</w:t>
        </w:r>
        <w:r w:rsidRPr="00483B97">
          <w:rPr>
            <w:rFonts w:ascii="Arial" w:hAnsi="Arial"/>
            <w:b w:val="0"/>
            <w:bCs w:val="0"/>
            <w:noProof/>
            <w:webHidden/>
          </w:rPr>
          <w:fldChar w:fldCharType="end"/>
        </w:r>
      </w:hyperlink>
    </w:p>
    <w:p w14:paraId="0A529E18" w14:textId="6C9AB019" w:rsidR="00483B97" w:rsidRPr="00483B97" w:rsidRDefault="00483B97">
      <w:pPr>
        <w:pStyle w:val="TOC1"/>
        <w:tabs>
          <w:tab w:val="right" w:leader="dot" w:pos="8783"/>
        </w:tabs>
        <w:rPr>
          <w:rFonts w:ascii="Arial" w:eastAsiaTheme="minorEastAsia" w:hAnsi="Arial"/>
          <w:b w:val="0"/>
          <w:bCs w:val="0"/>
          <w:caps w:val="0"/>
          <w:noProof/>
          <w:kern w:val="2"/>
          <w:lang w:val="en-AU" w:eastAsia="en-GB"/>
          <w14:ligatures w14:val="standardContextual"/>
        </w:rPr>
      </w:pPr>
      <w:hyperlink w:anchor="_Toc230896250" w:history="1">
        <w:r w:rsidRPr="00483B97">
          <w:rPr>
            <w:rStyle w:val="Hyperlink"/>
            <w:rFonts w:ascii="Arial" w:hAnsi="Arial"/>
            <w:b w:val="0"/>
            <w:bCs w:val="0"/>
            <w:noProof/>
          </w:rPr>
          <w:t>Consent practices in everyday life</w:t>
        </w:r>
        <w:r w:rsidRPr="00483B97">
          <w:rPr>
            <w:rFonts w:ascii="Arial" w:hAnsi="Arial"/>
            <w:b w:val="0"/>
            <w:bCs w:val="0"/>
            <w:noProof/>
            <w:webHidden/>
          </w:rPr>
          <w:tab/>
        </w:r>
        <w:r w:rsidRPr="00483B97">
          <w:rPr>
            <w:rFonts w:ascii="Arial" w:hAnsi="Arial"/>
            <w:b w:val="0"/>
            <w:bCs w:val="0"/>
            <w:noProof/>
            <w:webHidden/>
          </w:rPr>
          <w:fldChar w:fldCharType="begin"/>
        </w:r>
        <w:r w:rsidRPr="00483B97">
          <w:rPr>
            <w:rFonts w:ascii="Arial" w:hAnsi="Arial"/>
            <w:b w:val="0"/>
            <w:bCs w:val="0"/>
            <w:noProof/>
            <w:webHidden/>
          </w:rPr>
          <w:instrText xml:space="preserve"> PAGEREF _Toc230896250 \h </w:instrText>
        </w:r>
        <w:r w:rsidRPr="00483B97">
          <w:rPr>
            <w:rFonts w:ascii="Arial" w:hAnsi="Arial"/>
            <w:b w:val="0"/>
            <w:bCs w:val="0"/>
            <w:noProof/>
            <w:webHidden/>
          </w:rPr>
        </w:r>
        <w:r w:rsidRPr="00483B97">
          <w:rPr>
            <w:rFonts w:ascii="Arial" w:hAnsi="Arial"/>
            <w:b w:val="0"/>
            <w:bCs w:val="0"/>
            <w:noProof/>
            <w:webHidden/>
          </w:rPr>
          <w:fldChar w:fldCharType="separate"/>
        </w:r>
        <w:r w:rsidR="00A6565F">
          <w:rPr>
            <w:rFonts w:ascii="Arial" w:hAnsi="Arial"/>
            <w:b w:val="0"/>
            <w:bCs w:val="0"/>
            <w:noProof/>
            <w:webHidden/>
          </w:rPr>
          <w:t>10</w:t>
        </w:r>
        <w:r w:rsidRPr="00483B97">
          <w:rPr>
            <w:rFonts w:ascii="Arial" w:hAnsi="Arial"/>
            <w:b w:val="0"/>
            <w:bCs w:val="0"/>
            <w:noProof/>
            <w:webHidden/>
          </w:rPr>
          <w:fldChar w:fldCharType="end"/>
        </w:r>
      </w:hyperlink>
    </w:p>
    <w:p w14:paraId="1E87C228" w14:textId="27A2DF86" w:rsidR="00483B97" w:rsidRPr="00483B97" w:rsidRDefault="00483B97">
      <w:pPr>
        <w:pStyle w:val="TOC1"/>
        <w:tabs>
          <w:tab w:val="right" w:leader="dot" w:pos="8783"/>
        </w:tabs>
        <w:rPr>
          <w:rFonts w:ascii="Arial" w:eastAsiaTheme="minorEastAsia" w:hAnsi="Arial"/>
          <w:b w:val="0"/>
          <w:bCs w:val="0"/>
          <w:caps w:val="0"/>
          <w:noProof/>
          <w:kern w:val="2"/>
          <w:lang w:val="en-AU" w:eastAsia="en-GB"/>
          <w14:ligatures w14:val="standardContextual"/>
        </w:rPr>
      </w:pPr>
      <w:hyperlink w:anchor="_Toc230896251" w:history="1">
        <w:r w:rsidRPr="00483B97">
          <w:rPr>
            <w:rStyle w:val="Hyperlink"/>
            <w:rFonts w:ascii="Arial" w:hAnsi="Arial"/>
            <w:b w:val="0"/>
            <w:bCs w:val="0"/>
            <w:noProof/>
          </w:rPr>
          <w:t>Privacy by Design</w:t>
        </w:r>
        <w:r w:rsidRPr="00483B97">
          <w:rPr>
            <w:rFonts w:ascii="Arial" w:hAnsi="Arial"/>
            <w:b w:val="0"/>
            <w:bCs w:val="0"/>
            <w:noProof/>
            <w:webHidden/>
          </w:rPr>
          <w:tab/>
        </w:r>
        <w:r w:rsidRPr="00483B97">
          <w:rPr>
            <w:rFonts w:ascii="Arial" w:hAnsi="Arial"/>
            <w:b w:val="0"/>
            <w:bCs w:val="0"/>
            <w:noProof/>
            <w:webHidden/>
          </w:rPr>
          <w:fldChar w:fldCharType="begin"/>
        </w:r>
        <w:r w:rsidRPr="00483B97">
          <w:rPr>
            <w:rFonts w:ascii="Arial" w:hAnsi="Arial"/>
            <w:b w:val="0"/>
            <w:bCs w:val="0"/>
            <w:noProof/>
            <w:webHidden/>
          </w:rPr>
          <w:instrText xml:space="preserve"> PAGEREF _Toc230896251 \h </w:instrText>
        </w:r>
        <w:r w:rsidRPr="00483B97">
          <w:rPr>
            <w:rFonts w:ascii="Arial" w:hAnsi="Arial"/>
            <w:b w:val="0"/>
            <w:bCs w:val="0"/>
            <w:noProof/>
            <w:webHidden/>
          </w:rPr>
        </w:r>
        <w:r w:rsidRPr="00483B97">
          <w:rPr>
            <w:rFonts w:ascii="Arial" w:hAnsi="Arial"/>
            <w:b w:val="0"/>
            <w:bCs w:val="0"/>
            <w:noProof/>
            <w:webHidden/>
          </w:rPr>
          <w:fldChar w:fldCharType="separate"/>
        </w:r>
        <w:r w:rsidR="00A6565F">
          <w:rPr>
            <w:rFonts w:ascii="Arial" w:hAnsi="Arial"/>
            <w:b w:val="0"/>
            <w:bCs w:val="0"/>
            <w:noProof/>
            <w:webHidden/>
          </w:rPr>
          <w:t>11</w:t>
        </w:r>
        <w:r w:rsidRPr="00483B97">
          <w:rPr>
            <w:rFonts w:ascii="Arial" w:hAnsi="Arial"/>
            <w:b w:val="0"/>
            <w:bCs w:val="0"/>
            <w:noProof/>
            <w:webHidden/>
          </w:rPr>
          <w:fldChar w:fldCharType="end"/>
        </w:r>
      </w:hyperlink>
    </w:p>
    <w:p w14:paraId="59303E4A" w14:textId="1E124BB2" w:rsidR="00483B97" w:rsidRPr="00483B97" w:rsidRDefault="00483B97">
      <w:pPr>
        <w:pStyle w:val="TOC1"/>
        <w:tabs>
          <w:tab w:val="right" w:leader="dot" w:pos="8783"/>
        </w:tabs>
        <w:rPr>
          <w:rFonts w:ascii="Arial" w:eastAsiaTheme="minorEastAsia" w:hAnsi="Arial"/>
          <w:b w:val="0"/>
          <w:bCs w:val="0"/>
          <w:caps w:val="0"/>
          <w:noProof/>
          <w:kern w:val="2"/>
          <w:lang w:val="en-AU" w:eastAsia="en-GB"/>
          <w14:ligatures w14:val="standardContextual"/>
        </w:rPr>
      </w:pPr>
      <w:hyperlink w:anchor="_Toc230896252" w:history="1">
        <w:r w:rsidRPr="00483B97">
          <w:rPr>
            <w:rStyle w:val="Hyperlink"/>
            <w:rFonts w:ascii="Arial" w:hAnsi="Arial"/>
            <w:b w:val="0"/>
            <w:bCs w:val="0"/>
            <w:noProof/>
          </w:rPr>
          <w:t>Age assurance technologies and privacy risk</w:t>
        </w:r>
        <w:r w:rsidRPr="00483B97">
          <w:rPr>
            <w:rFonts w:ascii="Arial" w:hAnsi="Arial"/>
            <w:b w:val="0"/>
            <w:bCs w:val="0"/>
            <w:noProof/>
            <w:webHidden/>
          </w:rPr>
          <w:tab/>
        </w:r>
        <w:r w:rsidRPr="00483B97">
          <w:rPr>
            <w:rFonts w:ascii="Arial" w:hAnsi="Arial"/>
            <w:b w:val="0"/>
            <w:bCs w:val="0"/>
            <w:noProof/>
            <w:webHidden/>
          </w:rPr>
          <w:fldChar w:fldCharType="begin"/>
        </w:r>
        <w:r w:rsidRPr="00483B97">
          <w:rPr>
            <w:rFonts w:ascii="Arial" w:hAnsi="Arial"/>
            <w:b w:val="0"/>
            <w:bCs w:val="0"/>
            <w:noProof/>
            <w:webHidden/>
          </w:rPr>
          <w:instrText xml:space="preserve"> PAGEREF _Toc230896252 \h </w:instrText>
        </w:r>
        <w:r w:rsidRPr="00483B97">
          <w:rPr>
            <w:rFonts w:ascii="Arial" w:hAnsi="Arial"/>
            <w:b w:val="0"/>
            <w:bCs w:val="0"/>
            <w:noProof/>
            <w:webHidden/>
          </w:rPr>
        </w:r>
        <w:r w:rsidRPr="00483B97">
          <w:rPr>
            <w:rFonts w:ascii="Arial" w:hAnsi="Arial"/>
            <w:b w:val="0"/>
            <w:bCs w:val="0"/>
            <w:noProof/>
            <w:webHidden/>
          </w:rPr>
          <w:fldChar w:fldCharType="separate"/>
        </w:r>
        <w:r w:rsidR="00A6565F">
          <w:rPr>
            <w:rFonts w:ascii="Arial" w:hAnsi="Arial"/>
            <w:b w:val="0"/>
            <w:bCs w:val="0"/>
            <w:noProof/>
            <w:webHidden/>
          </w:rPr>
          <w:t>11</w:t>
        </w:r>
        <w:r w:rsidRPr="00483B97">
          <w:rPr>
            <w:rFonts w:ascii="Arial" w:hAnsi="Arial"/>
            <w:b w:val="0"/>
            <w:bCs w:val="0"/>
            <w:noProof/>
            <w:webHidden/>
          </w:rPr>
          <w:fldChar w:fldCharType="end"/>
        </w:r>
      </w:hyperlink>
    </w:p>
    <w:p w14:paraId="2AD27AD8" w14:textId="16CA31BD" w:rsidR="00483B97" w:rsidRPr="00483B97" w:rsidRDefault="00483B97">
      <w:pPr>
        <w:pStyle w:val="TOC1"/>
        <w:tabs>
          <w:tab w:val="right" w:leader="dot" w:pos="8783"/>
        </w:tabs>
        <w:rPr>
          <w:rFonts w:ascii="Arial" w:eastAsiaTheme="minorEastAsia" w:hAnsi="Arial"/>
          <w:b w:val="0"/>
          <w:bCs w:val="0"/>
          <w:caps w:val="0"/>
          <w:noProof/>
          <w:kern w:val="2"/>
          <w:lang w:val="en-AU" w:eastAsia="en-GB"/>
          <w14:ligatures w14:val="standardContextual"/>
        </w:rPr>
      </w:pPr>
      <w:hyperlink w:anchor="_Toc230896253" w:history="1">
        <w:r w:rsidRPr="00483B97">
          <w:rPr>
            <w:rStyle w:val="Hyperlink"/>
            <w:rFonts w:ascii="Arial" w:hAnsi="Arial"/>
            <w:b w:val="0"/>
            <w:bCs w:val="0"/>
            <w:noProof/>
          </w:rPr>
          <w:t>Just-in-time provision of personal information</w:t>
        </w:r>
        <w:r w:rsidRPr="00483B97">
          <w:rPr>
            <w:rFonts w:ascii="Arial" w:hAnsi="Arial"/>
            <w:b w:val="0"/>
            <w:bCs w:val="0"/>
            <w:noProof/>
            <w:webHidden/>
          </w:rPr>
          <w:tab/>
        </w:r>
        <w:r w:rsidRPr="00483B97">
          <w:rPr>
            <w:rFonts w:ascii="Arial" w:hAnsi="Arial"/>
            <w:b w:val="0"/>
            <w:bCs w:val="0"/>
            <w:noProof/>
            <w:webHidden/>
          </w:rPr>
          <w:fldChar w:fldCharType="begin"/>
        </w:r>
        <w:r w:rsidRPr="00483B97">
          <w:rPr>
            <w:rFonts w:ascii="Arial" w:hAnsi="Arial"/>
            <w:b w:val="0"/>
            <w:bCs w:val="0"/>
            <w:noProof/>
            <w:webHidden/>
          </w:rPr>
          <w:instrText xml:space="preserve"> PAGEREF _Toc230896253 \h </w:instrText>
        </w:r>
        <w:r w:rsidRPr="00483B97">
          <w:rPr>
            <w:rFonts w:ascii="Arial" w:hAnsi="Arial"/>
            <w:b w:val="0"/>
            <w:bCs w:val="0"/>
            <w:noProof/>
            <w:webHidden/>
          </w:rPr>
        </w:r>
        <w:r w:rsidRPr="00483B97">
          <w:rPr>
            <w:rFonts w:ascii="Arial" w:hAnsi="Arial"/>
            <w:b w:val="0"/>
            <w:bCs w:val="0"/>
            <w:noProof/>
            <w:webHidden/>
          </w:rPr>
          <w:fldChar w:fldCharType="separate"/>
        </w:r>
        <w:r w:rsidR="00A6565F">
          <w:rPr>
            <w:rFonts w:ascii="Arial" w:hAnsi="Arial"/>
            <w:b w:val="0"/>
            <w:bCs w:val="0"/>
            <w:noProof/>
            <w:webHidden/>
          </w:rPr>
          <w:t>13</w:t>
        </w:r>
        <w:r w:rsidRPr="00483B97">
          <w:rPr>
            <w:rFonts w:ascii="Arial" w:hAnsi="Arial"/>
            <w:b w:val="0"/>
            <w:bCs w:val="0"/>
            <w:noProof/>
            <w:webHidden/>
          </w:rPr>
          <w:fldChar w:fldCharType="end"/>
        </w:r>
      </w:hyperlink>
    </w:p>
    <w:p w14:paraId="67BF81C4" w14:textId="41EE9B10" w:rsidR="00483B97" w:rsidRPr="00483B97" w:rsidRDefault="00483B97">
      <w:pPr>
        <w:pStyle w:val="TOC1"/>
        <w:tabs>
          <w:tab w:val="right" w:leader="dot" w:pos="8783"/>
        </w:tabs>
        <w:rPr>
          <w:rFonts w:ascii="Arial" w:eastAsiaTheme="minorEastAsia" w:hAnsi="Arial"/>
          <w:b w:val="0"/>
          <w:bCs w:val="0"/>
          <w:caps w:val="0"/>
          <w:noProof/>
          <w:kern w:val="2"/>
          <w:lang w:val="en-AU" w:eastAsia="en-GB"/>
          <w14:ligatures w14:val="standardContextual"/>
        </w:rPr>
      </w:pPr>
      <w:hyperlink w:anchor="_Toc230896254" w:history="1">
        <w:r w:rsidRPr="00483B97">
          <w:rPr>
            <w:rStyle w:val="Hyperlink"/>
            <w:rFonts w:ascii="Arial" w:hAnsi="Arial"/>
            <w:b w:val="0"/>
            <w:bCs w:val="0"/>
            <w:noProof/>
          </w:rPr>
          <w:t>Definition matters</w:t>
        </w:r>
        <w:r w:rsidRPr="00483B97">
          <w:rPr>
            <w:rFonts w:ascii="Arial" w:hAnsi="Arial"/>
            <w:b w:val="0"/>
            <w:bCs w:val="0"/>
            <w:noProof/>
            <w:webHidden/>
          </w:rPr>
          <w:tab/>
        </w:r>
        <w:r w:rsidRPr="00483B97">
          <w:rPr>
            <w:rFonts w:ascii="Arial" w:hAnsi="Arial"/>
            <w:b w:val="0"/>
            <w:bCs w:val="0"/>
            <w:noProof/>
            <w:webHidden/>
          </w:rPr>
          <w:fldChar w:fldCharType="begin"/>
        </w:r>
        <w:r w:rsidRPr="00483B97">
          <w:rPr>
            <w:rFonts w:ascii="Arial" w:hAnsi="Arial"/>
            <w:b w:val="0"/>
            <w:bCs w:val="0"/>
            <w:noProof/>
            <w:webHidden/>
          </w:rPr>
          <w:instrText xml:space="preserve"> PAGEREF _Toc230896254 \h </w:instrText>
        </w:r>
        <w:r w:rsidRPr="00483B97">
          <w:rPr>
            <w:rFonts w:ascii="Arial" w:hAnsi="Arial"/>
            <w:b w:val="0"/>
            <w:bCs w:val="0"/>
            <w:noProof/>
            <w:webHidden/>
          </w:rPr>
        </w:r>
        <w:r w:rsidRPr="00483B97">
          <w:rPr>
            <w:rFonts w:ascii="Arial" w:hAnsi="Arial"/>
            <w:b w:val="0"/>
            <w:bCs w:val="0"/>
            <w:noProof/>
            <w:webHidden/>
          </w:rPr>
          <w:fldChar w:fldCharType="separate"/>
        </w:r>
        <w:r w:rsidR="00A6565F">
          <w:rPr>
            <w:rFonts w:ascii="Arial" w:hAnsi="Arial"/>
            <w:b w:val="0"/>
            <w:bCs w:val="0"/>
            <w:noProof/>
            <w:webHidden/>
          </w:rPr>
          <w:t>13</w:t>
        </w:r>
        <w:r w:rsidRPr="00483B97">
          <w:rPr>
            <w:rFonts w:ascii="Arial" w:hAnsi="Arial"/>
            <w:b w:val="0"/>
            <w:bCs w:val="0"/>
            <w:noProof/>
            <w:webHidden/>
          </w:rPr>
          <w:fldChar w:fldCharType="end"/>
        </w:r>
      </w:hyperlink>
    </w:p>
    <w:p w14:paraId="38E2191D" w14:textId="2CE06B0F" w:rsidR="00483B97" w:rsidRPr="00483B97" w:rsidRDefault="00483B97">
      <w:pPr>
        <w:pStyle w:val="TOC1"/>
        <w:tabs>
          <w:tab w:val="right" w:leader="dot" w:pos="8783"/>
        </w:tabs>
        <w:rPr>
          <w:rFonts w:ascii="Arial" w:eastAsiaTheme="minorEastAsia" w:hAnsi="Arial"/>
          <w:b w:val="0"/>
          <w:bCs w:val="0"/>
          <w:caps w:val="0"/>
          <w:noProof/>
          <w:kern w:val="2"/>
          <w:lang w:val="en-AU" w:eastAsia="en-GB"/>
          <w14:ligatures w14:val="standardContextual"/>
        </w:rPr>
      </w:pPr>
      <w:hyperlink w:anchor="_Toc230896255" w:history="1">
        <w:r w:rsidRPr="00483B97">
          <w:rPr>
            <w:rStyle w:val="Hyperlink"/>
            <w:rFonts w:ascii="Arial" w:hAnsi="Arial"/>
            <w:b w:val="0"/>
            <w:bCs w:val="0"/>
            <w:noProof/>
          </w:rPr>
          <w:t>Independent privacy impact assessments</w:t>
        </w:r>
        <w:r w:rsidRPr="00483B97">
          <w:rPr>
            <w:rFonts w:ascii="Arial" w:hAnsi="Arial"/>
            <w:b w:val="0"/>
            <w:bCs w:val="0"/>
            <w:noProof/>
            <w:webHidden/>
          </w:rPr>
          <w:tab/>
        </w:r>
        <w:r w:rsidRPr="00483B97">
          <w:rPr>
            <w:rFonts w:ascii="Arial" w:hAnsi="Arial"/>
            <w:b w:val="0"/>
            <w:bCs w:val="0"/>
            <w:noProof/>
            <w:webHidden/>
          </w:rPr>
          <w:fldChar w:fldCharType="begin"/>
        </w:r>
        <w:r w:rsidRPr="00483B97">
          <w:rPr>
            <w:rFonts w:ascii="Arial" w:hAnsi="Arial"/>
            <w:b w:val="0"/>
            <w:bCs w:val="0"/>
            <w:noProof/>
            <w:webHidden/>
          </w:rPr>
          <w:instrText xml:space="preserve"> PAGEREF _Toc230896255 \h </w:instrText>
        </w:r>
        <w:r w:rsidRPr="00483B97">
          <w:rPr>
            <w:rFonts w:ascii="Arial" w:hAnsi="Arial"/>
            <w:b w:val="0"/>
            <w:bCs w:val="0"/>
            <w:noProof/>
            <w:webHidden/>
          </w:rPr>
        </w:r>
        <w:r w:rsidRPr="00483B97">
          <w:rPr>
            <w:rFonts w:ascii="Arial" w:hAnsi="Arial"/>
            <w:b w:val="0"/>
            <w:bCs w:val="0"/>
            <w:noProof/>
            <w:webHidden/>
          </w:rPr>
          <w:fldChar w:fldCharType="separate"/>
        </w:r>
        <w:r w:rsidR="00A6565F">
          <w:rPr>
            <w:rFonts w:ascii="Arial" w:hAnsi="Arial"/>
            <w:b w:val="0"/>
            <w:bCs w:val="0"/>
            <w:noProof/>
            <w:webHidden/>
          </w:rPr>
          <w:t>14</w:t>
        </w:r>
        <w:r w:rsidRPr="00483B97">
          <w:rPr>
            <w:rFonts w:ascii="Arial" w:hAnsi="Arial"/>
            <w:b w:val="0"/>
            <w:bCs w:val="0"/>
            <w:noProof/>
            <w:webHidden/>
          </w:rPr>
          <w:fldChar w:fldCharType="end"/>
        </w:r>
      </w:hyperlink>
    </w:p>
    <w:p w14:paraId="54EA505D" w14:textId="0C75B2BA" w:rsidR="00483B97" w:rsidRPr="00483B97" w:rsidRDefault="00483B97">
      <w:pPr>
        <w:pStyle w:val="TOC1"/>
        <w:tabs>
          <w:tab w:val="right" w:leader="dot" w:pos="8783"/>
        </w:tabs>
        <w:rPr>
          <w:rFonts w:ascii="Arial" w:eastAsiaTheme="minorEastAsia" w:hAnsi="Arial"/>
          <w:b w:val="0"/>
          <w:bCs w:val="0"/>
          <w:caps w:val="0"/>
          <w:noProof/>
          <w:kern w:val="2"/>
          <w:lang w:val="en-AU" w:eastAsia="en-GB"/>
          <w14:ligatures w14:val="standardContextual"/>
        </w:rPr>
      </w:pPr>
      <w:hyperlink w:anchor="_Toc230896256" w:history="1">
        <w:r w:rsidRPr="00483B97">
          <w:rPr>
            <w:rStyle w:val="Hyperlink"/>
            <w:rFonts w:ascii="Arial" w:hAnsi="Arial"/>
            <w:b w:val="0"/>
            <w:bCs w:val="0"/>
            <w:noProof/>
          </w:rPr>
          <w:t>A national, multidisciplinary research ecosystem</w:t>
        </w:r>
        <w:r w:rsidRPr="00483B97">
          <w:rPr>
            <w:rFonts w:ascii="Arial" w:hAnsi="Arial"/>
            <w:b w:val="0"/>
            <w:bCs w:val="0"/>
            <w:noProof/>
            <w:webHidden/>
          </w:rPr>
          <w:tab/>
        </w:r>
        <w:r w:rsidRPr="00483B97">
          <w:rPr>
            <w:rFonts w:ascii="Arial" w:hAnsi="Arial"/>
            <w:b w:val="0"/>
            <w:bCs w:val="0"/>
            <w:noProof/>
            <w:webHidden/>
          </w:rPr>
          <w:fldChar w:fldCharType="begin"/>
        </w:r>
        <w:r w:rsidRPr="00483B97">
          <w:rPr>
            <w:rFonts w:ascii="Arial" w:hAnsi="Arial"/>
            <w:b w:val="0"/>
            <w:bCs w:val="0"/>
            <w:noProof/>
            <w:webHidden/>
          </w:rPr>
          <w:instrText xml:space="preserve"> PAGEREF _Toc230896256 \h </w:instrText>
        </w:r>
        <w:r w:rsidRPr="00483B97">
          <w:rPr>
            <w:rFonts w:ascii="Arial" w:hAnsi="Arial"/>
            <w:b w:val="0"/>
            <w:bCs w:val="0"/>
            <w:noProof/>
            <w:webHidden/>
          </w:rPr>
        </w:r>
        <w:r w:rsidRPr="00483B97">
          <w:rPr>
            <w:rFonts w:ascii="Arial" w:hAnsi="Arial"/>
            <w:b w:val="0"/>
            <w:bCs w:val="0"/>
            <w:noProof/>
            <w:webHidden/>
          </w:rPr>
          <w:fldChar w:fldCharType="separate"/>
        </w:r>
        <w:r w:rsidR="00A6565F">
          <w:rPr>
            <w:rFonts w:ascii="Arial" w:hAnsi="Arial"/>
            <w:b w:val="0"/>
            <w:bCs w:val="0"/>
            <w:noProof/>
            <w:webHidden/>
          </w:rPr>
          <w:t>15</w:t>
        </w:r>
        <w:r w:rsidRPr="00483B97">
          <w:rPr>
            <w:rFonts w:ascii="Arial" w:hAnsi="Arial"/>
            <w:b w:val="0"/>
            <w:bCs w:val="0"/>
            <w:noProof/>
            <w:webHidden/>
          </w:rPr>
          <w:fldChar w:fldCharType="end"/>
        </w:r>
      </w:hyperlink>
    </w:p>
    <w:p w14:paraId="41C88DF7" w14:textId="4A1A1A21" w:rsidR="009E7D1B" w:rsidRDefault="00F213ED">
      <w:pPr>
        <w:pStyle w:val="TOC1"/>
        <w:sectPr w:rsidR="009E7D1B">
          <w:headerReference w:type="default" r:id="rId9"/>
          <w:footerReference w:type="default" r:id="rId10"/>
          <w:pgSz w:w="11910" w:h="16820"/>
          <w:pgMar w:top="1380" w:right="1417" w:bottom="280" w:left="1700" w:header="0" w:footer="0" w:gutter="0"/>
          <w:pgNumType w:start="2"/>
          <w:cols w:space="720"/>
        </w:sectPr>
      </w:pPr>
      <w:r>
        <w:rPr>
          <w:rFonts w:ascii="Arial" w:hAnsi="Arial"/>
          <w:caps w:val="0"/>
          <w:sz w:val="20"/>
          <w:szCs w:val="20"/>
        </w:rPr>
        <w:fldChar w:fldCharType="end"/>
      </w:r>
    </w:p>
    <w:p w14:paraId="41C88DF8" w14:textId="2BBD9FBB" w:rsidR="009E7D1B" w:rsidRDefault="00A87D78">
      <w:pPr>
        <w:pStyle w:val="Heading1"/>
      </w:pPr>
      <w:bookmarkStart w:id="7" w:name="_TOC_250009"/>
      <w:bookmarkStart w:id="8" w:name="_Toc230294335"/>
      <w:bookmarkStart w:id="9" w:name="_Toc230295208"/>
      <w:bookmarkStart w:id="10" w:name="_Toc230895707"/>
      <w:bookmarkStart w:id="11" w:name="_Toc230895963"/>
      <w:bookmarkStart w:id="12" w:name="_Toc230896245"/>
      <w:r>
        <w:lastRenderedPageBreak/>
        <w:t xml:space="preserve">About the </w:t>
      </w:r>
      <w:bookmarkEnd w:id="7"/>
      <w:r w:rsidR="004C17C5">
        <w:t>authors</w:t>
      </w:r>
      <w:bookmarkEnd w:id="8"/>
      <w:bookmarkEnd w:id="9"/>
      <w:bookmarkEnd w:id="10"/>
      <w:bookmarkEnd w:id="11"/>
      <w:bookmarkEnd w:id="12"/>
    </w:p>
    <w:p w14:paraId="12CC887E" w14:textId="5A033468" w:rsidR="009E7D1B" w:rsidRDefault="009E7D1B">
      <w:pPr>
        <w:pStyle w:val="BodyText"/>
        <w:spacing w:before="8"/>
        <w:rPr>
          <w:sz w:val="40"/>
          <w:szCs w:val="40"/>
        </w:rPr>
      </w:pPr>
    </w:p>
    <w:p w14:paraId="72C4394E" w14:textId="17C61330" w:rsidR="004F7094" w:rsidRPr="00AC2C49" w:rsidRDefault="004F7094" w:rsidP="66FF6A9F">
      <w:pPr>
        <w:shd w:val="clear" w:color="auto" w:fill="FFFFFF" w:themeFill="background1"/>
        <w:spacing w:line="252" w:lineRule="auto"/>
        <w:rPr>
          <w:color w:val="111111"/>
        </w:rPr>
      </w:pPr>
      <w:r w:rsidRPr="0049261B">
        <w:rPr>
          <w:b/>
          <w:bCs/>
          <w:color w:val="111111"/>
        </w:rPr>
        <w:t>Justine Humphry</w:t>
      </w:r>
      <w:r w:rsidRPr="66FF6A9F">
        <w:rPr>
          <w:color w:val="111111"/>
        </w:rPr>
        <w:t xml:space="preserve"> is an Associate Professor of Digital Cultures in Media and Communications, </w:t>
      </w:r>
      <w:r w:rsidR="00147A27">
        <w:rPr>
          <w:color w:val="111111"/>
        </w:rPr>
        <w:t xml:space="preserve">and Deputy Head of School (Research) of Art, Communication and English, </w:t>
      </w:r>
      <w:r w:rsidRPr="66FF6A9F">
        <w:rPr>
          <w:color w:val="111111"/>
        </w:rPr>
        <w:t>Faculty of Arts and Social Sciences. Justine</w:t>
      </w:r>
      <w:r w:rsidR="005E76ED">
        <w:rPr>
          <w:color w:val="111111"/>
        </w:rPr>
        <w:t>’</w:t>
      </w:r>
      <w:r w:rsidRPr="66FF6A9F">
        <w:rPr>
          <w:color w:val="111111"/>
        </w:rPr>
        <w:t>s research focuses on the uses and social consequences of digital media and emerging technologies. Their work addresses young people and digital media, digital inequalities</w:t>
      </w:r>
      <w:r w:rsidR="00147A27">
        <w:rPr>
          <w:color w:val="111111"/>
        </w:rPr>
        <w:t>,</w:t>
      </w:r>
      <w:r w:rsidRPr="66FF6A9F">
        <w:rPr>
          <w:color w:val="111111"/>
        </w:rPr>
        <w:t xml:space="preserve"> and datafication in platformed media environments</w:t>
      </w:r>
      <w:r w:rsidR="00041BC9">
        <w:rPr>
          <w:color w:val="111111"/>
        </w:rPr>
        <w:t>.</w:t>
      </w:r>
      <w:r w:rsidRPr="66FF6A9F">
        <w:rPr>
          <w:color w:val="111111"/>
        </w:rPr>
        <w:t xml:space="preserve"> Justine is the Chief Investigator on the ARC Linkage project </w:t>
      </w:r>
      <w:r w:rsidRPr="66FF6A9F">
        <w:rPr>
          <w:i/>
          <w:iCs/>
          <w:color w:val="111111"/>
        </w:rPr>
        <w:t>Digital Media</w:t>
      </w:r>
      <w:r w:rsidR="00CA650C">
        <w:rPr>
          <w:i/>
          <w:iCs/>
          <w:color w:val="111111"/>
        </w:rPr>
        <w:t xml:space="preserve"> for Youth Justice</w:t>
      </w:r>
      <w:r w:rsidRPr="66FF6A9F">
        <w:rPr>
          <w:color w:val="111111"/>
        </w:rPr>
        <w:t>.</w:t>
      </w:r>
    </w:p>
    <w:p w14:paraId="6CD74D1C" w14:textId="77777777" w:rsidR="5ACAB0F0" w:rsidRDefault="5ACAB0F0" w:rsidP="66FF6A9F">
      <w:pPr>
        <w:shd w:val="clear" w:color="auto" w:fill="FFFFFF" w:themeFill="background1"/>
        <w:spacing w:line="252" w:lineRule="auto"/>
        <w:rPr>
          <w:color w:val="111111"/>
        </w:rPr>
      </w:pPr>
    </w:p>
    <w:p w14:paraId="1AB61B0B" w14:textId="77777777" w:rsidR="53CE78B1" w:rsidRDefault="53CE78B1" w:rsidP="66FF6A9F">
      <w:pPr>
        <w:shd w:val="clear" w:color="auto" w:fill="FFFFFF" w:themeFill="background1"/>
        <w:spacing w:line="252" w:lineRule="auto"/>
        <w:rPr>
          <w:color w:val="111111"/>
        </w:rPr>
      </w:pPr>
      <w:r w:rsidRPr="0049261B">
        <w:rPr>
          <w:b/>
          <w:bCs/>
          <w:color w:val="111111"/>
        </w:rPr>
        <w:t>Dr Joanne Gray</w:t>
      </w:r>
      <w:r w:rsidRPr="5ACAB0F0">
        <w:rPr>
          <w:color w:val="111111"/>
        </w:rPr>
        <w:t xml:space="preserve"> is Chair of Discipline, Media and Communications, Faculty of Arts and Social Sciences. She is an interdisciplinary academic with expertise in Internet and digital technology policy and governance. Her research seeks to understand how corporate digital society actors—such as Google, Meta, Amazon, Apple and Microsoft—exercise private power, and to support public interest policy and governance interventions.</w:t>
      </w:r>
    </w:p>
    <w:p w14:paraId="57382FD0" w14:textId="77777777" w:rsidR="006E71A6" w:rsidRDefault="006E71A6" w:rsidP="66FF6A9F">
      <w:pPr>
        <w:shd w:val="clear" w:color="auto" w:fill="FFFFFF" w:themeFill="background1"/>
        <w:spacing w:line="252" w:lineRule="auto"/>
        <w:rPr>
          <w:color w:val="111111"/>
          <w:lang w:val="en-GB"/>
        </w:rPr>
      </w:pPr>
    </w:p>
    <w:p w14:paraId="218F2EF5" w14:textId="50DA6E7C" w:rsidR="006E71A6" w:rsidRPr="006E71A6" w:rsidRDefault="006E71A6" w:rsidP="66FF6A9F">
      <w:pPr>
        <w:shd w:val="clear" w:color="auto" w:fill="FFFFFF" w:themeFill="background1"/>
        <w:spacing w:line="252" w:lineRule="auto"/>
        <w:rPr>
          <w:color w:val="111111"/>
        </w:rPr>
      </w:pPr>
      <w:r w:rsidRPr="0049261B">
        <w:rPr>
          <w:b/>
          <w:bCs/>
          <w:color w:val="111111"/>
          <w:lang w:val="en-GB"/>
        </w:rPr>
        <w:t>Dr Agata Mrva-Montoya</w:t>
      </w:r>
      <w:r w:rsidRPr="006E71A6">
        <w:rPr>
          <w:color w:val="111111"/>
          <w:lang w:val="en-GB"/>
        </w:rPr>
        <w:t xml:space="preserve"> is </w:t>
      </w:r>
      <w:r w:rsidR="00147A27">
        <w:rPr>
          <w:color w:val="111111"/>
          <w:lang w:val="en-GB"/>
        </w:rPr>
        <w:t>S</w:t>
      </w:r>
      <w:r w:rsidRPr="006E71A6">
        <w:rPr>
          <w:color w:val="111111"/>
          <w:lang w:val="en-GB"/>
        </w:rPr>
        <w:t xml:space="preserve">enior </w:t>
      </w:r>
      <w:r w:rsidR="00147A27">
        <w:rPr>
          <w:color w:val="111111"/>
          <w:lang w:val="en-GB"/>
        </w:rPr>
        <w:t>L</w:t>
      </w:r>
      <w:r w:rsidRPr="006E71A6">
        <w:rPr>
          <w:color w:val="111111"/>
          <w:lang w:val="en-GB"/>
        </w:rPr>
        <w:t>ecturer in the Discipline of Media and Communications</w:t>
      </w:r>
      <w:r w:rsidR="004619DC">
        <w:rPr>
          <w:color w:val="111111"/>
          <w:lang w:val="en-GB"/>
        </w:rPr>
        <w:t xml:space="preserve"> and president of the Round Table on Information</w:t>
      </w:r>
      <w:r w:rsidR="004643B7">
        <w:rPr>
          <w:color w:val="111111"/>
          <w:lang w:val="en-GB"/>
        </w:rPr>
        <w:t xml:space="preserve"> Access for People with Print Disabilities</w:t>
      </w:r>
      <w:r w:rsidRPr="006E71A6">
        <w:rPr>
          <w:color w:val="111111"/>
          <w:lang w:val="en-GB"/>
        </w:rPr>
        <w:t xml:space="preserve">. Her research examines the ways technological innovation and power structures shape the publishing industry, focusing specifically on their impact on equitable access to literature and knowledge. She is author of </w:t>
      </w:r>
      <w:r w:rsidRPr="006E71A6">
        <w:rPr>
          <w:i/>
          <w:iCs/>
          <w:color w:val="111111"/>
          <w:lang w:val="en-GB"/>
        </w:rPr>
        <w:t>Inclusive publishing and the quest for reading equity</w:t>
      </w:r>
      <w:r w:rsidRPr="006E71A6">
        <w:rPr>
          <w:color w:val="111111"/>
          <w:lang w:val="en-GB"/>
        </w:rPr>
        <w:t xml:space="preserve"> (2025) and co-author of </w:t>
      </w:r>
      <w:r w:rsidRPr="006E71A6">
        <w:rPr>
          <w:i/>
          <w:iCs/>
          <w:color w:val="111111"/>
          <w:lang w:val="en-GB"/>
        </w:rPr>
        <w:t>Books without barriers: a practical guide to inclusive publishing</w:t>
      </w:r>
      <w:r w:rsidR="009A1B9C">
        <w:rPr>
          <w:i/>
          <w:iCs/>
          <w:color w:val="111111"/>
          <w:lang w:val="en-GB"/>
        </w:rPr>
        <w:t xml:space="preserve">, </w:t>
      </w:r>
      <w:r w:rsidR="009A1B9C" w:rsidRPr="009A1B9C">
        <w:rPr>
          <w:color w:val="111111"/>
          <w:lang w:val="en-GB"/>
        </w:rPr>
        <w:t>2nd edn.</w:t>
      </w:r>
      <w:r>
        <w:rPr>
          <w:color w:val="111111"/>
          <w:lang w:val="en-GB"/>
        </w:rPr>
        <w:t xml:space="preserve"> (2026)</w:t>
      </w:r>
      <w:r w:rsidRPr="006E71A6">
        <w:rPr>
          <w:color w:val="111111"/>
          <w:lang w:val="en-GB"/>
        </w:rPr>
        <w:t>.</w:t>
      </w:r>
    </w:p>
    <w:p w14:paraId="0D09322B" w14:textId="77777777" w:rsidR="006E71A6" w:rsidRDefault="006E71A6" w:rsidP="66FF6A9F">
      <w:pPr>
        <w:shd w:val="clear" w:color="auto" w:fill="FFFFFF" w:themeFill="background1"/>
        <w:spacing w:line="252" w:lineRule="auto"/>
        <w:rPr>
          <w:color w:val="111111"/>
        </w:rPr>
      </w:pPr>
    </w:p>
    <w:p w14:paraId="34D641D6" w14:textId="312B323B" w:rsidR="00CC3FFB" w:rsidRDefault="7FD88E7F" w:rsidP="66FF6A9F">
      <w:pPr>
        <w:shd w:val="clear" w:color="auto" w:fill="FFFFFF" w:themeFill="background1"/>
        <w:spacing w:line="252" w:lineRule="auto"/>
        <w:rPr>
          <w:color w:val="111111"/>
        </w:rPr>
      </w:pPr>
      <w:r w:rsidRPr="0049261B">
        <w:rPr>
          <w:b/>
          <w:bCs/>
          <w:color w:val="111111"/>
        </w:rPr>
        <w:t>Jonathon Hutchinson</w:t>
      </w:r>
      <w:r w:rsidRPr="2C57C2DB">
        <w:rPr>
          <w:color w:val="111111"/>
        </w:rPr>
        <w:t xml:space="preserve"> is an Associate Professor of Online Communication and Media in the Discipline of Media and Communications</w:t>
      </w:r>
      <w:r w:rsidR="0784E5AC" w:rsidRPr="66FF6A9F">
        <w:rPr>
          <w:color w:val="111111"/>
        </w:rPr>
        <w:t>,</w:t>
      </w:r>
      <w:r w:rsidR="004F7094" w:rsidRPr="66FF6A9F">
        <w:rPr>
          <w:color w:val="111111"/>
        </w:rPr>
        <w:t xml:space="preserve"> </w:t>
      </w:r>
      <w:r w:rsidR="0784E5AC" w:rsidRPr="66FF6A9F">
        <w:rPr>
          <w:color w:val="111111"/>
        </w:rPr>
        <w:t>Faculty of Arts and Social Science,</w:t>
      </w:r>
      <w:r w:rsidR="004F7094" w:rsidRPr="66FF6A9F">
        <w:rPr>
          <w:color w:val="111111"/>
        </w:rPr>
        <w:t xml:space="preserve"> at the University of Sydney.</w:t>
      </w:r>
      <w:r w:rsidRPr="2C57C2DB">
        <w:rPr>
          <w:color w:val="111111"/>
        </w:rPr>
        <w:t xml:space="preserve"> He is a Chief Investigator on the ARC Discovery Project, </w:t>
      </w:r>
      <w:r w:rsidRPr="66FF6A9F">
        <w:rPr>
          <w:i/>
          <w:color w:val="111111"/>
        </w:rPr>
        <w:t>Australian Experiences of Algorithmic Culture on TikTok</w:t>
      </w:r>
      <w:r w:rsidRPr="2C57C2DB">
        <w:rPr>
          <w:color w:val="111111"/>
        </w:rPr>
        <w:t xml:space="preserve">, a Chief Investigator on the ARC Linkage project </w:t>
      </w:r>
      <w:r w:rsidRPr="66FF6A9F">
        <w:rPr>
          <w:i/>
          <w:color w:val="111111"/>
        </w:rPr>
        <w:t>Digital Media</w:t>
      </w:r>
      <w:r w:rsidR="00600895">
        <w:rPr>
          <w:i/>
          <w:color w:val="111111"/>
        </w:rPr>
        <w:t xml:space="preserve"> for Youth Justice</w:t>
      </w:r>
      <w:r w:rsidRPr="2C57C2DB">
        <w:rPr>
          <w:color w:val="111111"/>
        </w:rPr>
        <w:t>, and an Associate Investigator at the ARC Centre of Excellence for Automated Decision Making + Society.</w:t>
      </w:r>
    </w:p>
    <w:p w14:paraId="7E17B56E" w14:textId="77777777" w:rsidR="004C17C5" w:rsidRDefault="004C17C5" w:rsidP="66FF6A9F">
      <w:pPr>
        <w:shd w:val="clear" w:color="auto" w:fill="FFFFFF" w:themeFill="background1"/>
        <w:spacing w:line="252" w:lineRule="auto"/>
        <w:rPr>
          <w:color w:val="111111"/>
        </w:rPr>
      </w:pPr>
    </w:p>
    <w:p w14:paraId="670ED894" w14:textId="71061745" w:rsidR="0F1E3CB5" w:rsidRDefault="0F1E3CB5" w:rsidP="412719D2">
      <w:pPr>
        <w:spacing w:line="252" w:lineRule="auto"/>
      </w:pPr>
      <w:r w:rsidRPr="0049261B">
        <w:rPr>
          <w:rFonts w:eastAsiaTheme="minorEastAsia"/>
          <w:b/>
          <w:bCs/>
          <w:color w:val="111111"/>
        </w:rPr>
        <w:t>Naseem Ahmadpour</w:t>
      </w:r>
      <w:r w:rsidRPr="412719D2">
        <w:rPr>
          <w:rFonts w:eastAsiaTheme="minorEastAsia"/>
          <w:color w:val="111111"/>
        </w:rPr>
        <w:t xml:space="preserve"> is </w:t>
      </w:r>
      <w:r w:rsidR="00B17215">
        <w:rPr>
          <w:rFonts w:eastAsiaTheme="minorEastAsia"/>
          <w:color w:val="111111"/>
        </w:rPr>
        <w:t xml:space="preserve">an </w:t>
      </w:r>
      <w:r w:rsidRPr="412719D2">
        <w:rPr>
          <w:rFonts w:eastAsiaTheme="minorEastAsia"/>
          <w:color w:val="111111"/>
        </w:rPr>
        <w:t>Associate Professor in Discipline of Design and Associate Dean (Research) within the School of Architecture, Design and Planning at the University of Sydney. She is an interdisciplinary researcher specialising in emerging and interactive technologies and their implications for young people. Her recent work focuses on the application of AI across domains such as mental health, with a particular emphasis on ethical design practices.</w:t>
      </w:r>
    </w:p>
    <w:p w14:paraId="22DCD290" w14:textId="474A9120" w:rsidR="412719D2" w:rsidRDefault="412719D2" w:rsidP="412719D2">
      <w:pPr>
        <w:spacing w:line="252" w:lineRule="auto"/>
        <w:rPr>
          <w:color w:val="111111"/>
        </w:rPr>
      </w:pPr>
    </w:p>
    <w:p w14:paraId="296D27A6" w14:textId="6421377A" w:rsidR="0B2267D9" w:rsidRDefault="0B2267D9" w:rsidP="412719D2">
      <w:pPr>
        <w:spacing w:line="252" w:lineRule="auto"/>
      </w:pPr>
      <w:r w:rsidRPr="00B17215">
        <w:rPr>
          <w:b/>
          <w:bCs/>
          <w:color w:val="111111"/>
        </w:rPr>
        <w:t>Shalini Lal</w:t>
      </w:r>
      <w:r w:rsidRPr="412719D2">
        <w:rPr>
          <w:color w:val="111111"/>
        </w:rPr>
        <w:t xml:space="preserve"> is a Professor in the Faculty of Medicine and Health, Sydney School of Health Sciences, Discipline of Occupational Therapy, and with the Centre for Disability Research and Policy. Her interdisciplinary research aims to improve the mental health and well-being of young people, with a focus on youth disability, digital inclusion, service innovation, and the lived realities of digital technologies and policies. She leads international collaborations in youth mental health and technology and </w:t>
      </w:r>
      <w:proofErr w:type="gramStart"/>
      <w:r w:rsidRPr="412719D2">
        <w:rPr>
          <w:color w:val="111111"/>
        </w:rPr>
        <w:t>a</w:t>
      </w:r>
      <w:r w:rsidR="10AF74C7" w:rsidRPr="412719D2">
        <w:rPr>
          <w:color w:val="111111"/>
        </w:rPr>
        <w:t xml:space="preserve"> </w:t>
      </w:r>
      <w:r w:rsidRPr="412719D2">
        <w:rPr>
          <w:color w:val="111111"/>
        </w:rPr>
        <w:t>research</w:t>
      </w:r>
      <w:proofErr w:type="gramEnd"/>
      <w:r w:rsidRPr="412719D2">
        <w:rPr>
          <w:color w:val="111111"/>
        </w:rPr>
        <w:t xml:space="preserve">–practice–policy alliance focused on the lived realities of digital </w:t>
      </w:r>
      <w:r w:rsidR="173147D5" w:rsidRPr="412719D2">
        <w:rPr>
          <w:color w:val="111111"/>
        </w:rPr>
        <w:t xml:space="preserve">life and policy </w:t>
      </w:r>
      <w:r w:rsidRPr="412719D2">
        <w:rPr>
          <w:color w:val="111111"/>
        </w:rPr>
        <w:t>for young people with disability.</w:t>
      </w:r>
    </w:p>
    <w:p w14:paraId="7D1DF43D" w14:textId="446F0F63" w:rsidR="70BD7E4A" w:rsidRDefault="70BD7E4A" w:rsidP="70BD7E4A">
      <w:pPr>
        <w:shd w:val="clear" w:color="auto" w:fill="FFFFFF" w:themeFill="background1"/>
        <w:spacing w:line="252" w:lineRule="auto"/>
        <w:rPr>
          <w:color w:val="111111"/>
        </w:rPr>
      </w:pPr>
    </w:p>
    <w:p w14:paraId="5E58C97E" w14:textId="23F45B40" w:rsidR="004C17C5" w:rsidRDefault="5F109E2E" w:rsidP="66FF6A9F">
      <w:pPr>
        <w:shd w:val="clear" w:color="auto" w:fill="FFFFFF" w:themeFill="background1"/>
        <w:spacing w:line="252" w:lineRule="auto"/>
        <w:rPr>
          <w:color w:val="111111"/>
        </w:rPr>
      </w:pPr>
      <w:r w:rsidRPr="00B17215">
        <w:rPr>
          <w:b/>
          <w:bCs/>
          <w:color w:val="111111"/>
        </w:rPr>
        <w:t>Louisa Peralta</w:t>
      </w:r>
      <w:r w:rsidRPr="70BD7E4A">
        <w:rPr>
          <w:color w:val="111111"/>
        </w:rPr>
        <w:t xml:space="preserve"> is an Associate Professor of Health and Physical Education in the Faculty of Arts and Social Sciences</w:t>
      </w:r>
      <w:r w:rsidRPr="2792C8AE">
        <w:rPr>
          <w:color w:val="111111"/>
        </w:rPr>
        <w:t xml:space="preserve"> at the University of Sydney. </w:t>
      </w:r>
      <w:r w:rsidR="14ED885E" w:rsidRPr="2A0DDA58">
        <w:rPr>
          <w:color w:val="111111"/>
        </w:rPr>
        <w:t xml:space="preserve">Her research </w:t>
      </w:r>
      <w:r w:rsidR="6D47B377" w:rsidRPr="2A0DDA58">
        <w:rPr>
          <w:color w:val="111111"/>
        </w:rPr>
        <w:t xml:space="preserve">aims to improve the health and wellbeing of school leaders, teachers, children and young people through school settings and curriculum, teaching and learning programs. </w:t>
      </w:r>
      <w:r w:rsidRPr="2A0DDA58">
        <w:rPr>
          <w:color w:val="111111"/>
        </w:rPr>
        <w:t xml:space="preserve">She is the </w:t>
      </w:r>
      <w:r w:rsidR="56FA6AF8" w:rsidRPr="2A0DDA58">
        <w:rPr>
          <w:color w:val="111111"/>
        </w:rPr>
        <w:t>L</w:t>
      </w:r>
      <w:r w:rsidRPr="2A0DDA58">
        <w:rPr>
          <w:color w:val="111111"/>
        </w:rPr>
        <w:t xml:space="preserve">ead </w:t>
      </w:r>
      <w:r w:rsidR="358E1A24" w:rsidRPr="2A0DDA58">
        <w:rPr>
          <w:color w:val="111111"/>
        </w:rPr>
        <w:t>investigator</w:t>
      </w:r>
      <w:r w:rsidR="2CCC6B99" w:rsidRPr="2A0DDA58">
        <w:rPr>
          <w:color w:val="111111"/>
        </w:rPr>
        <w:t xml:space="preserve"> on the </w:t>
      </w:r>
      <w:r w:rsidR="6DCEF3FC" w:rsidRPr="657AC354">
        <w:rPr>
          <w:color w:val="111111"/>
        </w:rPr>
        <w:t xml:space="preserve">ARC Discovery Project, </w:t>
      </w:r>
      <w:r w:rsidR="6DCEF3FC" w:rsidRPr="43A93452">
        <w:rPr>
          <w:color w:val="111111"/>
        </w:rPr>
        <w:t>‘Deciphering</w:t>
      </w:r>
      <w:r w:rsidR="0A395AC4" w:rsidRPr="45FBCE14">
        <w:rPr>
          <w:color w:val="111111"/>
        </w:rPr>
        <w:t xml:space="preserve"> adolescents’ use and evaluation </w:t>
      </w:r>
      <w:r w:rsidR="0A395AC4" w:rsidRPr="45FBCE14">
        <w:rPr>
          <w:color w:val="111111"/>
        </w:rPr>
        <w:lastRenderedPageBreak/>
        <w:t xml:space="preserve">of digital health </w:t>
      </w:r>
      <w:r w:rsidR="0A395AC4" w:rsidRPr="7AE332FC">
        <w:rPr>
          <w:color w:val="111111"/>
        </w:rPr>
        <w:t>information’</w:t>
      </w:r>
      <w:r w:rsidR="0A395AC4" w:rsidRPr="3167E2EB">
        <w:rPr>
          <w:color w:val="111111"/>
        </w:rPr>
        <w:t>.</w:t>
      </w:r>
    </w:p>
    <w:p w14:paraId="692F948F" w14:textId="5EED4234" w:rsidR="71B16DE9" w:rsidRDefault="71B16DE9" w:rsidP="71B16DE9">
      <w:pPr>
        <w:shd w:val="clear" w:color="auto" w:fill="FFFFFF" w:themeFill="background1"/>
        <w:spacing w:line="252" w:lineRule="auto"/>
        <w:rPr>
          <w:color w:val="111111"/>
        </w:rPr>
      </w:pPr>
    </w:p>
    <w:p w14:paraId="1A9C4B9C" w14:textId="123092A1" w:rsidR="6A1AD9FB" w:rsidRDefault="00555E8A" w:rsidP="71B16DE9">
      <w:pPr>
        <w:shd w:val="clear" w:color="auto" w:fill="FFFFFF" w:themeFill="background1"/>
        <w:spacing w:line="252" w:lineRule="auto"/>
      </w:pPr>
      <w:r>
        <w:rPr>
          <w:b/>
          <w:bCs/>
          <w:color w:val="111111"/>
        </w:rPr>
        <w:t xml:space="preserve">Dr </w:t>
      </w:r>
      <w:r w:rsidR="6A1AD9FB" w:rsidRPr="00B17215">
        <w:rPr>
          <w:b/>
          <w:bCs/>
          <w:color w:val="111111"/>
        </w:rPr>
        <w:t>Ben Egliston</w:t>
      </w:r>
      <w:r w:rsidR="6A1AD9FB" w:rsidRPr="71B16DE9">
        <w:rPr>
          <w:color w:val="111111"/>
        </w:rPr>
        <w:t xml:space="preserve"> is a Senior Lecturer in Digital Cultures in the Discipline of Media and Communications at the University of Sydney. </w:t>
      </w:r>
      <w:r w:rsidR="45C8F5E0" w:rsidRPr="71B16DE9">
        <w:t xml:space="preserve">He researches and writes about the political economy of digital media and technology. </w:t>
      </w:r>
      <w:r w:rsidR="01B0EDD1" w:rsidRPr="71B16DE9">
        <w:t xml:space="preserve">He is an </w:t>
      </w:r>
      <w:r w:rsidR="01B0EDD1" w:rsidRPr="71B16DE9">
        <w:rPr>
          <w:color w:val="111111"/>
        </w:rPr>
        <w:t>Australian Research Council DECRA Fellow</w:t>
      </w:r>
      <w:r w:rsidR="611572EC" w:rsidRPr="71B16DE9">
        <w:rPr>
          <w:color w:val="111111"/>
        </w:rPr>
        <w:t xml:space="preserve">, </w:t>
      </w:r>
      <w:r w:rsidR="01B0EDD1" w:rsidRPr="71B16DE9">
        <w:rPr>
          <w:color w:val="111111"/>
        </w:rPr>
        <w:t xml:space="preserve">leading the project </w:t>
      </w:r>
      <w:r w:rsidR="01B0EDD1" w:rsidRPr="71B16DE9">
        <w:rPr>
          <w:i/>
          <w:iCs/>
          <w:color w:val="111111"/>
        </w:rPr>
        <w:t>Paying and playing: Assessing and regulating digital games-as-a-service</w:t>
      </w:r>
      <w:r w:rsidR="31EC6781" w:rsidRPr="71B16DE9">
        <w:rPr>
          <w:i/>
          <w:iCs/>
          <w:color w:val="111111"/>
        </w:rPr>
        <w:t>,</w:t>
      </w:r>
      <w:r w:rsidR="01B0EDD1" w:rsidRPr="71B16DE9">
        <w:rPr>
          <w:color w:val="111111"/>
        </w:rPr>
        <w:t xml:space="preserve"> and a Chief Investigator on the </w:t>
      </w:r>
      <w:r w:rsidR="4A3C311F" w:rsidRPr="71B16DE9">
        <w:rPr>
          <w:color w:val="111111"/>
        </w:rPr>
        <w:t xml:space="preserve">ARC Discovery Project </w:t>
      </w:r>
      <w:r w:rsidR="4A3C311F" w:rsidRPr="71B16DE9">
        <w:rPr>
          <w:i/>
          <w:iCs/>
          <w:color w:val="111111"/>
        </w:rPr>
        <w:t>Proactive harm prevention for virtual and augmented reality technologies</w:t>
      </w:r>
      <w:r w:rsidR="4A3C311F" w:rsidRPr="71B16DE9">
        <w:rPr>
          <w:color w:val="111111"/>
        </w:rPr>
        <w:t xml:space="preserve">. </w:t>
      </w:r>
      <w:r w:rsidR="45C8F5E0" w:rsidRPr="71B16DE9">
        <w:t xml:space="preserve">He is the (co)author of four books: </w:t>
      </w:r>
      <w:r w:rsidR="45C8F5E0" w:rsidRPr="71B16DE9">
        <w:rPr>
          <w:i/>
          <w:iCs/>
        </w:rPr>
        <w:t xml:space="preserve">Fantasies of Virtual Reality </w:t>
      </w:r>
      <w:r w:rsidR="45C8F5E0" w:rsidRPr="71B16DE9">
        <w:t xml:space="preserve">(2024), </w:t>
      </w:r>
      <w:r w:rsidR="45C8F5E0" w:rsidRPr="71B16DE9">
        <w:rPr>
          <w:i/>
          <w:iCs/>
        </w:rPr>
        <w:t>Governing Social Virtual Reality</w:t>
      </w:r>
      <w:r w:rsidR="45C8F5E0" w:rsidRPr="71B16DE9">
        <w:t xml:space="preserve"> (2024), </w:t>
      </w:r>
      <w:r w:rsidR="45C8F5E0" w:rsidRPr="71B16DE9">
        <w:rPr>
          <w:i/>
          <w:iCs/>
        </w:rPr>
        <w:t>Cryptogaming</w:t>
      </w:r>
      <w:r w:rsidR="45C8F5E0" w:rsidRPr="71B16DE9">
        <w:t xml:space="preserve"> (Palgrave, 2025), and </w:t>
      </w:r>
      <w:r w:rsidR="45C8F5E0" w:rsidRPr="71B16DE9">
        <w:rPr>
          <w:i/>
          <w:iCs/>
        </w:rPr>
        <w:t>The Limits of Immersion: Disability and Virtual Reality</w:t>
      </w:r>
      <w:r w:rsidR="45C8F5E0" w:rsidRPr="71B16DE9">
        <w:t xml:space="preserve"> (2026).</w:t>
      </w:r>
    </w:p>
    <w:p w14:paraId="19A620C9" w14:textId="6BF0D218" w:rsidR="009E7D1B" w:rsidRDefault="009E7D1B" w:rsidP="66FF6A9F">
      <w:pPr>
        <w:pStyle w:val="BodyText"/>
        <w:spacing w:line="252" w:lineRule="auto"/>
        <w:ind w:left="457"/>
      </w:pPr>
    </w:p>
    <w:p w14:paraId="0B185F09" w14:textId="4A6657A4" w:rsidR="00C32989" w:rsidRPr="00D25949" w:rsidRDefault="00555E8A" w:rsidP="00D25949">
      <w:pPr>
        <w:pStyle w:val="BodyText"/>
        <w:spacing w:line="252" w:lineRule="auto"/>
        <w:sectPr w:rsidR="00C32989" w:rsidRPr="00D25949">
          <w:footerReference w:type="default" r:id="rId11"/>
          <w:pgSz w:w="11910" w:h="16820"/>
          <w:pgMar w:top="1380" w:right="1417" w:bottom="280" w:left="1700" w:header="0" w:footer="0" w:gutter="0"/>
          <w:cols w:space="720"/>
        </w:sectPr>
      </w:pPr>
      <w:r>
        <w:rPr>
          <w:b/>
          <w:bCs/>
        </w:rPr>
        <w:t xml:space="preserve">Dr </w:t>
      </w:r>
      <w:r w:rsidR="76479E57" w:rsidRPr="00D25949">
        <w:rPr>
          <w:b/>
          <w:bCs/>
        </w:rPr>
        <w:t>Catherine Page Jeffery</w:t>
      </w:r>
      <w:r w:rsidR="76479E57">
        <w:t xml:space="preserve"> is Senior Lecturer in the Discipline of Media and Communications at the University of Sydney. </w:t>
      </w:r>
      <w:r w:rsidR="1621685D" w:rsidRPr="508D9A65">
        <w:rPr>
          <w:color w:val="111111"/>
        </w:rPr>
        <w:t xml:space="preserve">Catherine's current research explores digital media and families, with a particular focus on parenting and family dynamics in the digital age, and sexually explicit material online. </w:t>
      </w:r>
      <w:r w:rsidR="2C39EB25">
        <w:t xml:space="preserve">She is author of the book </w:t>
      </w:r>
      <w:r w:rsidR="2C39EB25" w:rsidRPr="00D25949">
        <w:rPr>
          <w:i/>
          <w:iCs/>
        </w:rPr>
        <w:t xml:space="preserve">Parenting in a Digital World: Beyond Media Panics Towards a New Theory of Parental Mediation. </w:t>
      </w:r>
      <w:r w:rsidR="5B611F7E" w:rsidRPr="508D9A65">
        <w:rPr>
          <w:i/>
          <w:iCs/>
        </w:rPr>
        <w:t>S</w:t>
      </w:r>
      <w:r w:rsidR="5B611F7E" w:rsidRPr="508D9A65">
        <w:rPr>
          <w:color w:val="111111"/>
        </w:rPr>
        <w:t>he is currently a Chief Investigator on an ARC-funded project 'Improving Digital Sexual Literacy in Australia' (2024-2026). Previously, she was lead chief investigator on an innovative project funded by the Office of the eSafety Commissioner which worked with families with teenage and pre-teen children to promote intergenerational understanding about digital media use, with the aim of reducing media-related conflict at home.</w:t>
      </w:r>
    </w:p>
    <w:p w14:paraId="7C5BF395" w14:textId="656BAF2E" w:rsidR="2F63F9F5" w:rsidRPr="005E0FDA" w:rsidDel="008457D4" w:rsidRDefault="00DA03AE" w:rsidP="66FF6A9F">
      <w:pPr>
        <w:pStyle w:val="Heading1"/>
      </w:pPr>
      <w:bookmarkStart w:id="13" w:name="_Toc230295209"/>
      <w:bookmarkStart w:id="14" w:name="_Toc230295276"/>
      <w:bookmarkStart w:id="15" w:name="_Toc230296671"/>
      <w:bookmarkStart w:id="16" w:name="_Toc230896246"/>
      <w:r>
        <w:lastRenderedPageBreak/>
        <w:t>List of</w:t>
      </w:r>
      <w:bookmarkEnd w:id="13"/>
      <w:bookmarkEnd w:id="14"/>
      <w:bookmarkEnd w:id="15"/>
      <w:r>
        <w:t xml:space="preserve"> </w:t>
      </w:r>
      <w:bookmarkStart w:id="17" w:name="_Toc230294337"/>
      <w:bookmarkStart w:id="18" w:name="_Toc230295210"/>
      <w:r w:rsidR="00AB6B3E">
        <w:t>Recommendations</w:t>
      </w:r>
      <w:bookmarkEnd w:id="16"/>
      <w:bookmarkEnd w:id="17"/>
      <w:bookmarkEnd w:id="18"/>
    </w:p>
    <w:p w14:paraId="6E9C8BAB" w14:textId="46666F83" w:rsidR="00AB6B3E" w:rsidRDefault="00AB6B3E" w:rsidP="00F80DE1">
      <w:pPr>
        <w:spacing w:beforeLines="240" w:before="576" w:afterLines="240" w:after="576" w:line="252" w:lineRule="auto"/>
        <w:rPr>
          <w:b/>
          <w:bCs/>
          <w:color w:val="000000" w:themeColor="text1"/>
        </w:rPr>
      </w:pPr>
      <w:r w:rsidRPr="66FF6A9F">
        <w:rPr>
          <w:b/>
          <w:bCs/>
          <w:color w:val="000000" w:themeColor="text1"/>
        </w:rPr>
        <w:t xml:space="preserve">Recommendation: </w:t>
      </w:r>
      <w:r w:rsidR="005C218F">
        <w:rPr>
          <w:b/>
          <w:bCs/>
          <w:color w:val="000000" w:themeColor="text1"/>
        </w:rPr>
        <w:t xml:space="preserve">Prohibit </w:t>
      </w:r>
      <w:r w:rsidRPr="66FF6A9F">
        <w:rPr>
          <w:b/>
          <w:bCs/>
          <w:color w:val="000000" w:themeColor="text1"/>
        </w:rPr>
        <w:t>the sale or commercial transfer of children</w:t>
      </w:r>
      <w:r w:rsidR="005E76ED">
        <w:rPr>
          <w:b/>
          <w:bCs/>
          <w:color w:val="000000" w:themeColor="text1"/>
        </w:rPr>
        <w:t>’</w:t>
      </w:r>
      <w:r w:rsidRPr="66FF6A9F">
        <w:rPr>
          <w:b/>
          <w:bCs/>
          <w:color w:val="000000" w:themeColor="text1"/>
        </w:rPr>
        <w:t>s personal information</w:t>
      </w:r>
      <w:r w:rsidR="00DE1A4E">
        <w:rPr>
          <w:b/>
          <w:bCs/>
          <w:color w:val="000000" w:themeColor="text1"/>
        </w:rPr>
        <w:t>.</w:t>
      </w:r>
    </w:p>
    <w:p w14:paraId="06A71895" w14:textId="3FC5DD04" w:rsidR="00AB6B3E" w:rsidRPr="00D475C5" w:rsidRDefault="00AB6B3E" w:rsidP="00F80DE1">
      <w:pPr>
        <w:spacing w:before="240" w:afterLines="240" w:after="576" w:line="252" w:lineRule="auto"/>
        <w:rPr>
          <w:b/>
          <w:bCs/>
          <w:color w:val="000000" w:themeColor="text1"/>
        </w:rPr>
      </w:pPr>
      <w:r w:rsidRPr="66FF6A9F">
        <w:rPr>
          <w:b/>
          <w:bCs/>
        </w:rPr>
        <w:t>Recommendation: Strengthen accessibility requirements for children with disabilities (see specific amendment recommendations on page 9)</w:t>
      </w:r>
      <w:r w:rsidR="00DE1A4E">
        <w:rPr>
          <w:b/>
          <w:bCs/>
        </w:rPr>
        <w:t>.</w:t>
      </w:r>
    </w:p>
    <w:p w14:paraId="0CC16F07" w14:textId="195D861A" w:rsidR="00FE4C24" w:rsidRPr="00F90DF1" w:rsidRDefault="00FE4C24" w:rsidP="00FE4C24">
      <w:pPr>
        <w:spacing w:before="240" w:afterLines="240" w:after="576" w:line="252" w:lineRule="auto"/>
        <w:rPr>
          <w:b/>
          <w:bCs/>
          <w:color w:val="000000"/>
        </w:rPr>
      </w:pPr>
      <w:r w:rsidRPr="66FF6A9F">
        <w:rPr>
          <w:b/>
          <w:bCs/>
        </w:rPr>
        <w:t xml:space="preserve">Recommendation: </w:t>
      </w:r>
      <w:r w:rsidR="00590EE7">
        <w:rPr>
          <w:b/>
          <w:bCs/>
        </w:rPr>
        <w:t xml:space="preserve">Adopt </w:t>
      </w:r>
      <w:r w:rsidRPr="66FF6A9F">
        <w:rPr>
          <w:b/>
          <w:bCs/>
          <w:color w:val="000000" w:themeColor="text1"/>
        </w:rPr>
        <w:t>a tripartite strategy to support the operation of consent that includes public education and awareness, scenario-based impact assessments, and independent research and evaluation.</w:t>
      </w:r>
    </w:p>
    <w:p w14:paraId="6E4E45C7" w14:textId="203FB7C8" w:rsidR="004410FD" w:rsidRPr="009742CB" w:rsidRDefault="22783416" w:rsidP="3986B91B">
      <w:pPr>
        <w:spacing w:before="240" w:afterLines="240" w:after="576" w:line="252" w:lineRule="auto"/>
        <w:rPr>
          <w:rFonts w:eastAsiaTheme="minorEastAsia"/>
          <w:b/>
          <w:bCs/>
        </w:rPr>
      </w:pPr>
      <w:r w:rsidRPr="009742CB">
        <w:rPr>
          <w:b/>
          <w:bCs/>
        </w:rPr>
        <w:t>Recommendation:</w:t>
      </w:r>
      <w:r w:rsidRPr="3986B91B">
        <w:rPr>
          <w:b/>
          <w:bCs/>
        </w:rPr>
        <w:t xml:space="preserve"> </w:t>
      </w:r>
      <w:r w:rsidR="000F3A8E">
        <w:rPr>
          <w:b/>
          <w:bCs/>
        </w:rPr>
        <w:t xml:space="preserve">Embed privacy by design as a core </w:t>
      </w:r>
      <w:r w:rsidR="00DE6035">
        <w:rPr>
          <w:b/>
          <w:bCs/>
        </w:rPr>
        <w:t>requirement</w:t>
      </w:r>
      <w:r w:rsidRPr="00D51D74">
        <w:rPr>
          <w:rFonts w:eastAsiaTheme="minorEastAsia"/>
          <w:b/>
          <w:bCs/>
        </w:rPr>
        <w:t xml:space="preserve"> </w:t>
      </w:r>
      <w:r w:rsidR="000F3A8E">
        <w:rPr>
          <w:rFonts w:eastAsiaTheme="minorEastAsia"/>
          <w:b/>
          <w:bCs/>
        </w:rPr>
        <w:t xml:space="preserve">for the </w:t>
      </w:r>
      <w:r w:rsidRPr="00C5531A">
        <w:rPr>
          <w:rFonts w:eastAsiaTheme="minorEastAsia"/>
          <w:b/>
          <w:bCs/>
        </w:rPr>
        <w:t xml:space="preserve">strong and effective implementation of the Code. </w:t>
      </w:r>
    </w:p>
    <w:p w14:paraId="5366D08A" w14:textId="1E76D67E" w:rsidR="00AB6B3E" w:rsidRDefault="64C3E309" w:rsidP="00F80DE1">
      <w:pPr>
        <w:spacing w:before="240" w:afterLines="240" w:after="576" w:line="252" w:lineRule="auto"/>
        <w:rPr>
          <w:b/>
          <w:bCs/>
        </w:rPr>
      </w:pPr>
      <w:r w:rsidRPr="3986B91B">
        <w:rPr>
          <w:b/>
          <w:bCs/>
        </w:rPr>
        <w:t xml:space="preserve">Recommendation: </w:t>
      </w:r>
      <w:r w:rsidR="008B109F">
        <w:rPr>
          <w:b/>
          <w:bCs/>
        </w:rPr>
        <w:t>Impose s</w:t>
      </w:r>
      <w:r w:rsidRPr="3986B91B">
        <w:rPr>
          <w:b/>
          <w:bCs/>
        </w:rPr>
        <w:t>tronger regulatory safeguards for age assurance systems and processes, including heavy penalties for retaining children</w:t>
      </w:r>
      <w:r w:rsidR="005E76ED">
        <w:rPr>
          <w:b/>
          <w:bCs/>
        </w:rPr>
        <w:t>’</w:t>
      </w:r>
      <w:r w:rsidRPr="3986B91B">
        <w:rPr>
          <w:b/>
          <w:bCs/>
        </w:rPr>
        <w:t xml:space="preserve">s personal information </w:t>
      </w:r>
      <w:r w:rsidR="2B534E03" w:rsidRPr="3986B91B">
        <w:rPr>
          <w:b/>
          <w:bCs/>
        </w:rPr>
        <w:t>and</w:t>
      </w:r>
      <w:r w:rsidRPr="3986B91B">
        <w:rPr>
          <w:b/>
          <w:bCs/>
        </w:rPr>
        <w:t xml:space="preserve"> data breaches.</w:t>
      </w:r>
    </w:p>
    <w:p w14:paraId="2A5B11C1" w14:textId="3A03E66E" w:rsidR="00AB6B3E" w:rsidRDefault="00AB6B3E" w:rsidP="00F80DE1">
      <w:pPr>
        <w:spacing w:before="240" w:afterLines="240" w:after="576" w:line="252" w:lineRule="auto"/>
      </w:pPr>
      <w:r w:rsidRPr="00D475C5">
        <w:rPr>
          <w:b/>
          <w:bCs/>
        </w:rPr>
        <w:t xml:space="preserve">Recommendation: </w:t>
      </w:r>
      <w:r w:rsidR="000C7728">
        <w:rPr>
          <w:b/>
          <w:bCs/>
        </w:rPr>
        <w:t>Require companies to respond promptly</w:t>
      </w:r>
      <w:r w:rsidR="0094201C">
        <w:rPr>
          <w:b/>
          <w:bCs/>
        </w:rPr>
        <w:t xml:space="preserve"> and at the point of need to requests about</w:t>
      </w:r>
      <w:r w:rsidRPr="00D475C5">
        <w:rPr>
          <w:b/>
          <w:bCs/>
        </w:rPr>
        <w:t xml:space="preserve"> </w:t>
      </w:r>
      <w:r w:rsidR="0094201C">
        <w:rPr>
          <w:b/>
          <w:bCs/>
        </w:rPr>
        <w:t>how</w:t>
      </w:r>
      <w:r w:rsidRPr="00D475C5">
        <w:rPr>
          <w:b/>
          <w:bCs/>
        </w:rPr>
        <w:t xml:space="preserve"> personal information is handled</w:t>
      </w:r>
      <w:r w:rsidRPr="00D475C5">
        <w:rPr>
          <w:b/>
          <w:bCs/>
          <w:color w:val="000000"/>
        </w:rPr>
        <w:t>.</w:t>
      </w:r>
    </w:p>
    <w:p w14:paraId="02C4E7DE" w14:textId="466CAE74" w:rsidR="00AB6B3E" w:rsidRDefault="00AB6B3E" w:rsidP="00F80DE1">
      <w:pPr>
        <w:spacing w:before="240" w:afterLines="240" w:after="576" w:line="252" w:lineRule="auto"/>
        <w:rPr>
          <w:b/>
          <w:bCs/>
          <w:color w:val="000000"/>
        </w:rPr>
      </w:pPr>
      <w:r w:rsidRPr="00D475C5">
        <w:rPr>
          <w:b/>
          <w:bCs/>
          <w:color w:val="0A0A0A"/>
        </w:rPr>
        <w:t xml:space="preserve">Recommendation: </w:t>
      </w:r>
      <w:r w:rsidR="0094201C">
        <w:rPr>
          <w:b/>
          <w:bCs/>
          <w:color w:val="0A0A0A"/>
        </w:rPr>
        <w:t>Ensure d</w:t>
      </w:r>
      <w:r w:rsidRPr="00D475C5">
        <w:rPr>
          <w:b/>
          <w:bCs/>
          <w:color w:val="0A0A0A"/>
        </w:rPr>
        <w:t xml:space="preserve">efinitions </w:t>
      </w:r>
      <w:r w:rsidR="0094201C">
        <w:rPr>
          <w:b/>
          <w:bCs/>
          <w:color w:val="0A0A0A"/>
        </w:rPr>
        <w:t>are</w:t>
      </w:r>
      <w:r w:rsidRPr="00D475C5">
        <w:rPr>
          <w:b/>
          <w:bCs/>
          <w:color w:val="0A0A0A"/>
        </w:rPr>
        <w:t xml:space="preserve"> fit for purpose and flexible to address the wide range of service types</w:t>
      </w:r>
      <w:r w:rsidR="0094201C">
        <w:rPr>
          <w:b/>
          <w:bCs/>
          <w:color w:val="0A0A0A"/>
        </w:rPr>
        <w:t xml:space="preserve">, </w:t>
      </w:r>
      <w:r w:rsidRPr="00D475C5">
        <w:rPr>
          <w:b/>
          <w:bCs/>
          <w:color w:val="0A0A0A"/>
        </w:rPr>
        <w:t>configurations</w:t>
      </w:r>
      <w:r>
        <w:rPr>
          <w:b/>
          <w:bCs/>
          <w:color w:val="0A0A0A"/>
        </w:rPr>
        <w:t xml:space="preserve"> and </w:t>
      </w:r>
      <w:r w:rsidRPr="00D475C5">
        <w:rPr>
          <w:b/>
          <w:bCs/>
          <w:color w:val="0A0A0A"/>
        </w:rPr>
        <w:t xml:space="preserve">rapid technological innovation, and </w:t>
      </w:r>
      <w:r w:rsidR="0094201C">
        <w:rPr>
          <w:b/>
          <w:bCs/>
          <w:color w:val="0A0A0A"/>
        </w:rPr>
        <w:t xml:space="preserve">remove </w:t>
      </w:r>
      <w:r>
        <w:rPr>
          <w:b/>
          <w:bCs/>
          <w:color w:val="0A0A0A"/>
        </w:rPr>
        <w:t>the exception for</w:t>
      </w:r>
      <w:r w:rsidRPr="22A4364D">
        <w:rPr>
          <w:b/>
          <w:color w:val="000000" w:themeColor="text1"/>
        </w:rPr>
        <w:t xml:space="preserve"> health services.</w:t>
      </w:r>
    </w:p>
    <w:p w14:paraId="586E7DDC" w14:textId="3370C9A4" w:rsidR="00674081" w:rsidRPr="00395DD1" w:rsidRDefault="00674081" w:rsidP="00674081">
      <w:pPr>
        <w:spacing w:before="240" w:afterLines="240" w:after="576"/>
        <w:rPr>
          <w:b/>
          <w:bCs/>
        </w:rPr>
      </w:pPr>
      <w:r w:rsidRPr="00674081">
        <w:rPr>
          <w:b/>
          <w:bCs/>
        </w:rPr>
        <w:t xml:space="preserve">Recommendation: </w:t>
      </w:r>
      <w:r>
        <w:rPr>
          <w:b/>
          <w:bCs/>
        </w:rPr>
        <w:t>Undertake p</w:t>
      </w:r>
      <w:r w:rsidRPr="00674081">
        <w:rPr>
          <w:b/>
          <w:bCs/>
        </w:rPr>
        <w:t xml:space="preserve">rivacy </w:t>
      </w:r>
      <w:r w:rsidRPr="71B16DE9">
        <w:rPr>
          <w:b/>
          <w:bCs/>
        </w:rPr>
        <w:t>i</w:t>
      </w:r>
      <w:r w:rsidRPr="00674081">
        <w:rPr>
          <w:b/>
          <w:bCs/>
        </w:rPr>
        <w:t>mpact assessments</w:t>
      </w:r>
      <w:r w:rsidRPr="71B16DE9">
        <w:rPr>
          <w:b/>
          <w:bCs/>
        </w:rPr>
        <w:t xml:space="preserve"> </w:t>
      </w:r>
      <w:r>
        <w:rPr>
          <w:b/>
          <w:bCs/>
        </w:rPr>
        <w:t>conducted</w:t>
      </w:r>
      <w:r w:rsidRPr="71B16DE9">
        <w:rPr>
          <w:b/>
          <w:bCs/>
        </w:rPr>
        <w:t xml:space="preserve"> by independent bodies incorporating evidence-based research</w:t>
      </w:r>
      <w:r>
        <w:rPr>
          <w:b/>
          <w:bCs/>
        </w:rPr>
        <w:t>.</w:t>
      </w:r>
      <w:r w:rsidRPr="71B16DE9">
        <w:rPr>
          <w:b/>
          <w:bCs/>
        </w:rPr>
        <w:t xml:space="preserve">  </w:t>
      </w:r>
    </w:p>
    <w:p w14:paraId="002C91B0" w14:textId="379DEF46" w:rsidR="6E088348" w:rsidRDefault="6E088348" w:rsidP="00674081">
      <w:pPr>
        <w:spacing w:before="240" w:afterLines="240" w:after="576"/>
      </w:pPr>
      <w:r w:rsidRPr="412719D2">
        <w:rPr>
          <w:b/>
          <w:bCs/>
        </w:rPr>
        <w:t xml:space="preserve">Recommendation: </w:t>
      </w:r>
      <w:r w:rsidR="5202B85F" w:rsidRPr="412719D2">
        <w:rPr>
          <w:b/>
          <w:bCs/>
        </w:rPr>
        <w:t xml:space="preserve">Support a national </w:t>
      </w:r>
      <w:r w:rsidR="00146B6C">
        <w:rPr>
          <w:b/>
          <w:bCs/>
        </w:rPr>
        <w:t>research</w:t>
      </w:r>
      <w:r w:rsidR="00146B6C" w:rsidRPr="412719D2">
        <w:rPr>
          <w:b/>
          <w:bCs/>
        </w:rPr>
        <w:t xml:space="preserve"> </w:t>
      </w:r>
      <w:r w:rsidR="5202B85F" w:rsidRPr="412719D2">
        <w:rPr>
          <w:b/>
          <w:bCs/>
        </w:rPr>
        <w:t xml:space="preserve">ecosystem to monitor the impacts of the </w:t>
      </w:r>
      <w:r w:rsidR="00DE1A4E">
        <w:rPr>
          <w:b/>
          <w:bCs/>
        </w:rPr>
        <w:t>C</w:t>
      </w:r>
      <w:r w:rsidR="5202B85F" w:rsidRPr="412719D2">
        <w:rPr>
          <w:b/>
          <w:bCs/>
        </w:rPr>
        <w:t>ode</w:t>
      </w:r>
      <w:r w:rsidR="00DE1A4E">
        <w:rPr>
          <w:b/>
          <w:bCs/>
        </w:rPr>
        <w:t>.</w:t>
      </w:r>
    </w:p>
    <w:p w14:paraId="5D940501" w14:textId="20A31243" w:rsidR="412719D2" w:rsidRPr="004075EA" w:rsidRDefault="412719D2" w:rsidP="412719D2">
      <w:pPr>
        <w:spacing w:before="240" w:afterLines="240" w:after="576" w:line="252" w:lineRule="auto"/>
        <w:rPr>
          <w:b/>
          <w:bCs/>
        </w:rPr>
      </w:pPr>
    </w:p>
    <w:p w14:paraId="0D5ACDAE" w14:textId="77777777" w:rsidR="00190B73" w:rsidRPr="00D475C5" w:rsidRDefault="00190B73" w:rsidP="00AB6B3E">
      <w:pPr>
        <w:spacing w:before="240" w:after="240"/>
      </w:pPr>
    </w:p>
    <w:p w14:paraId="46B63D73" w14:textId="77777777" w:rsidR="005103EA" w:rsidRDefault="005103EA" w:rsidP="028270E8">
      <w:pPr>
        <w:spacing w:before="318" w:after="240"/>
        <w:rPr>
          <w:color w:val="000000" w:themeColor="text1"/>
        </w:rPr>
      </w:pPr>
    </w:p>
    <w:p w14:paraId="55FD1EFD" w14:textId="77777777" w:rsidR="00C83717" w:rsidRDefault="00C83717">
      <w:pPr>
        <w:rPr>
          <w:b/>
          <w:bCs/>
          <w:color w:val="000000" w:themeColor="text1"/>
          <w:u w:val="single"/>
        </w:rPr>
      </w:pPr>
      <w:r w:rsidRPr="66FF6A9F">
        <w:rPr>
          <w:b/>
          <w:bCs/>
          <w:color w:val="000000" w:themeColor="text1"/>
          <w:u w:val="single"/>
        </w:rPr>
        <w:br w:type="page"/>
      </w:r>
    </w:p>
    <w:p w14:paraId="4A86281E" w14:textId="77777777" w:rsidR="00DA03AE" w:rsidRPr="00D475C5" w:rsidRDefault="00DA03AE" w:rsidP="00C332AB">
      <w:pPr>
        <w:pStyle w:val="Heading1"/>
      </w:pPr>
      <w:bookmarkStart w:id="19" w:name="_Toc230294336"/>
      <w:bookmarkStart w:id="20" w:name="_Toc230295211"/>
      <w:bookmarkStart w:id="21" w:name="_Toc230896247"/>
      <w:r>
        <w:rPr>
          <w:spacing w:val="-2"/>
        </w:rPr>
        <w:lastRenderedPageBreak/>
        <w:t>Introduction</w:t>
      </w:r>
      <w:bookmarkEnd w:id="19"/>
      <w:bookmarkEnd w:id="20"/>
      <w:bookmarkEnd w:id="21"/>
    </w:p>
    <w:p w14:paraId="2DBC020E" w14:textId="511F8E89" w:rsidR="00DA03AE" w:rsidRPr="00BE5FD6" w:rsidRDefault="030F360A" w:rsidP="3986B91B">
      <w:pPr>
        <w:spacing w:before="240" w:after="240" w:line="259" w:lineRule="auto"/>
        <w:rPr>
          <w:color w:val="000000" w:themeColor="text1"/>
        </w:rPr>
      </w:pPr>
      <w:r w:rsidRPr="6B8F035A">
        <w:rPr>
          <w:color w:val="000000" w:themeColor="text1"/>
        </w:rPr>
        <w:t xml:space="preserve">We support the introduction of </w:t>
      </w:r>
      <w:r w:rsidR="00331E15">
        <w:rPr>
          <w:color w:val="000000" w:themeColor="text1"/>
        </w:rPr>
        <w:t xml:space="preserve">the </w:t>
      </w:r>
      <w:r w:rsidRPr="6B8F035A">
        <w:rPr>
          <w:color w:val="000000" w:themeColor="text1"/>
        </w:rPr>
        <w:t>Privacy (Children</w:t>
      </w:r>
      <w:r w:rsidR="625BDBCA" w:rsidRPr="6B8F035A">
        <w:rPr>
          <w:color w:val="000000" w:themeColor="text1"/>
        </w:rPr>
        <w:t>’</w:t>
      </w:r>
      <w:r w:rsidRPr="6B8F035A">
        <w:rPr>
          <w:color w:val="000000" w:themeColor="text1"/>
        </w:rPr>
        <w:t>s Online Privacy) Code</w:t>
      </w:r>
      <w:r w:rsidR="00CA7624">
        <w:rPr>
          <w:color w:val="000000" w:themeColor="text1"/>
        </w:rPr>
        <w:t xml:space="preserve"> 2026</w:t>
      </w:r>
      <w:r w:rsidRPr="6B8F035A">
        <w:rPr>
          <w:color w:val="000000" w:themeColor="text1"/>
        </w:rPr>
        <w:t>. It represents a meaningful step towards protecting children</w:t>
      </w:r>
      <w:r w:rsidR="625BDBCA" w:rsidRPr="6B8F035A">
        <w:rPr>
          <w:color w:val="000000" w:themeColor="text1"/>
        </w:rPr>
        <w:t>’</w:t>
      </w:r>
      <w:r w:rsidRPr="6B8F035A">
        <w:rPr>
          <w:color w:val="000000" w:themeColor="text1"/>
        </w:rPr>
        <w:t xml:space="preserve">s privacy online, including </w:t>
      </w:r>
      <w:r w:rsidR="007C3387" w:rsidRPr="6B8F035A">
        <w:rPr>
          <w:color w:val="000000" w:themeColor="text1"/>
        </w:rPr>
        <w:t>the</w:t>
      </w:r>
      <w:r w:rsidR="002B624E">
        <w:rPr>
          <w:color w:val="000000" w:themeColor="text1"/>
        </w:rPr>
        <w:t xml:space="preserve"> </w:t>
      </w:r>
      <w:r w:rsidR="007C3387" w:rsidRPr="6B8F035A">
        <w:rPr>
          <w:color w:val="000000" w:themeColor="text1"/>
        </w:rPr>
        <w:t xml:space="preserve">best interests test, </w:t>
      </w:r>
      <w:r w:rsidRPr="6B8F035A">
        <w:rPr>
          <w:color w:val="000000" w:themeColor="text1"/>
        </w:rPr>
        <w:t xml:space="preserve">privacy-by-default requirements, </w:t>
      </w:r>
      <w:r w:rsidR="515F40F3" w:rsidRPr="6B8F035A">
        <w:rPr>
          <w:color w:val="000000" w:themeColor="text1"/>
        </w:rPr>
        <w:t xml:space="preserve">the </w:t>
      </w:r>
      <w:r w:rsidRPr="6B8F035A">
        <w:rPr>
          <w:color w:val="000000" w:themeColor="text1"/>
        </w:rPr>
        <w:t xml:space="preserve">consent framework, </w:t>
      </w:r>
      <w:r w:rsidR="0FB069FA" w:rsidRPr="6B8F035A">
        <w:rPr>
          <w:color w:val="000000" w:themeColor="text1"/>
        </w:rPr>
        <w:t xml:space="preserve">transparency requirements, </w:t>
      </w:r>
      <w:r w:rsidRPr="6B8F035A">
        <w:rPr>
          <w:color w:val="000000" w:themeColor="text1"/>
        </w:rPr>
        <w:t>and the right to destruction of personal information. The Code falls short in some areas in relation to the sale or commercial transfer of children</w:t>
      </w:r>
      <w:r w:rsidR="625BDBCA" w:rsidRPr="6B8F035A">
        <w:rPr>
          <w:color w:val="000000" w:themeColor="text1"/>
        </w:rPr>
        <w:t>’</w:t>
      </w:r>
      <w:r w:rsidRPr="6B8F035A">
        <w:rPr>
          <w:color w:val="000000" w:themeColor="text1"/>
        </w:rPr>
        <w:t xml:space="preserve">s personal information, accessibility requirements for children with disabilities, </w:t>
      </w:r>
      <w:r w:rsidR="44953019" w:rsidRPr="6B8F035A">
        <w:rPr>
          <w:color w:val="000000" w:themeColor="text1"/>
        </w:rPr>
        <w:t xml:space="preserve">operation of </w:t>
      </w:r>
      <w:r w:rsidR="180928F3" w:rsidRPr="6B8F035A">
        <w:rPr>
          <w:color w:val="000000" w:themeColor="text1"/>
        </w:rPr>
        <w:t xml:space="preserve">consent practices, </w:t>
      </w:r>
      <w:r w:rsidR="1CC0F1D6" w:rsidRPr="6B8F035A">
        <w:rPr>
          <w:color w:val="000000" w:themeColor="text1"/>
        </w:rPr>
        <w:t xml:space="preserve">privacy by design, just-in-time </w:t>
      </w:r>
      <w:r w:rsidR="711BC851" w:rsidRPr="6B8F035A">
        <w:rPr>
          <w:color w:val="000000" w:themeColor="text1"/>
        </w:rPr>
        <w:t xml:space="preserve">requirements for handling personal information, </w:t>
      </w:r>
      <w:r w:rsidR="3F9314B7" w:rsidRPr="6B8F035A">
        <w:rPr>
          <w:color w:val="000000" w:themeColor="text1"/>
        </w:rPr>
        <w:t xml:space="preserve">privacy </w:t>
      </w:r>
      <w:r w:rsidR="6D56A38B" w:rsidRPr="6B8F035A">
        <w:rPr>
          <w:color w:val="000000" w:themeColor="text1"/>
        </w:rPr>
        <w:t xml:space="preserve">safeguards for age assurance systems, and </w:t>
      </w:r>
      <w:r w:rsidR="414E8B94" w:rsidRPr="6B8F035A">
        <w:rPr>
          <w:color w:val="000000" w:themeColor="text1"/>
        </w:rPr>
        <w:t xml:space="preserve">definitions </w:t>
      </w:r>
      <w:r w:rsidR="4B1A8DAC" w:rsidRPr="6B8F035A">
        <w:rPr>
          <w:color w:val="000000" w:themeColor="text1"/>
        </w:rPr>
        <w:t>that are flexible</w:t>
      </w:r>
      <w:r w:rsidR="6D56A38B" w:rsidRPr="6B8F035A">
        <w:rPr>
          <w:color w:val="000000" w:themeColor="text1"/>
        </w:rPr>
        <w:t xml:space="preserve"> and </w:t>
      </w:r>
      <w:r w:rsidR="4B1A8DAC" w:rsidRPr="6B8F035A">
        <w:rPr>
          <w:color w:val="000000" w:themeColor="text1"/>
        </w:rPr>
        <w:t xml:space="preserve">fit </w:t>
      </w:r>
      <w:r w:rsidR="6D56A38B" w:rsidRPr="6B8F035A">
        <w:rPr>
          <w:color w:val="000000" w:themeColor="text1"/>
        </w:rPr>
        <w:t xml:space="preserve">for purpose. </w:t>
      </w:r>
      <w:r w:rsidRPr="6B8F035A">
        <w:rPr>
          <w:color w:val="000000" w:themeColor="text1"/>
        </w:rPr>
        <w:t xml:space="preserve">To address these issues and strengthen the Code, we have made </w:t>
      </w:r>
      <w:r w:rsidR="3E9ED103" w:rsidRPr="6B8F035A">
        <w:rPr>
          <w:color w:val="000000" w:themeColor="text1"/>
        </w:rPr>
        <w:t>several</w:t>
      </w:r>
      <w:r w:rsidRPr="6B8F035A">
        <w:rPr>
          <w:color w:val="000000" w:themeColor="text1"/>
        </w:rPr>
        <w:t xml:space="preserve"> recommendations for consideration.</w:t>
      </w:r>
    </w:p>
    <w:p w14:paraId="1F4A1D7A" w14:textId="78ECFD2A" w:rsidR="006975BE" w:rsidRDefault="00EE1644" w:rsidP="00C332AB">
      <w:pPr>
        <w:pStyle w:val="Heading1"/>
      </w:pPr>
      <w:bookmarkStart w:id="22" w:name="_Toc230295212"/>
      <w:bookmarkStart w:id="23" w:name="_Toc230896248"/>
      <w:r>
        <w:t>The data market</w:t>
      </w:r>
      <w:r w:rsidR="002D0B63">
        <w:t xml:space="preserve"> </w:t>
      </w:r>
      <w:r>
        <w:t>for</w:t>
      </w:r>
      <w:r w:rsidR="002D0B63">
        <w:t xml:space="preserve"> children</w:t>
      </w:r>
      <w:r w:rsidR="005E76ED">
        <w:t>’</w:t>
      </w:r>
      <w:r w:rsidR="002D0B63">
        <w:t>s personal information</w:t>
      </w:r>
      <w:bookmarkEnd w:id="22"/>
      <w:bookmarkEnd w:id="23"/>
    </w:p>
    <w:p w14:paraId="774924FF" w14:textId="19C70658" w:rsidR="5B1C0F52" w:rsidRPr="00193D70" w:rsidRDefault="5B1C0F52" w:rsidP="028270E8">
      <w:pPr>
        <w:spacing w:before="240" w:after="240"/>
        <w:rPr>
          <w:b/>
          <w:color w:val="000000" w:themeColor="text1"/>
        </w:rPr>
      </w:pPr>
      <w:r w:rsidRPr="68ED6CBA">
        <w:rPr>
          <w:b/>
          <w:color w:val="000000" w:themeColor="text1"/>
        </w:rPr>
        <w:t xml:space="preserve">Recommendation: </w:t>
      </w:r>
      <w:r w:rsidR="009F6827" w:rsidRPr="68ED6CBA">
        <w:rPr>
          <w:b/>
          <w:color w:val="000000" w:themeColor="text1"/>
        </w:rPr>
        <w:t>Prohibit the sale or commercial transfer of children’s personal information</w:t>
      </w:r>
    </w:p>
    <w:p w14:paraId="6B10E83E" w14:textId="46E06A74" w:rsidR="2F63F9F5" w:rsidRDefault="2F63F9F5" w:rsidP="00125386">
      <w:pPr>
        <w:spacing w:before="240" w:after="240" w:line="259" w:lineRule="auto"/>
        <w:rPr>
          <w:color w:val="000000" w:themeColor="text1"/>
        </w:rPr>
      </w:pPr>
      <w:r w:rsidRPr="5ACAB0F0">
        <w:rPr>
          <w:color w:val="000000" w:themeColor="text1"/>
        </w:rPr>
        <w:t>Children</w:t>
      </w:r>
      <w:r w:rsidR="005E76ED">
        <w:rPr>
          <w:color w:val="000000" w:themeColor="text1"/>
        </w:rPr>
        <w:t>’</w:t>
      </w:r>
      <w:r w:rsidRPr="5ACAB0F0">
        <w:rPr>
          <w:color w:val="000000" w:themeColor="text1"/>
        </w:rPr>
        <w:t xml:space="preserve">s personal data has significant commercial value. It can be used to build detailed behavioural profiles </w:t>
      </w:r>
      <w:r w:rsidR="002C7502">
        <w:rPr>
          <w:color w:val="000000" w:themeColor="text1"/>
        </w:rPr>
        <w:t>–</w:t>
      </w:r>
      <w:r w:rsidR="002C7502" w:rsidRPr="5ACAB0F0">
        <w:rPr>
          <w:color w:val="000000" w:themeColor="text1"/>
        </w:rPr>
        <w:t xml:space="preserve"> </w:t>
      </w:r>
      <w:r w:rsidRPr="5ACAB0F0">
        <w:rPr>
          <w:color w:val="000000" w:themeColor="text1"/>
        </w:rPr>
        <w:t xml:space="preserve">tracking interests, habits, location, social connections and emotional states </w:t>
      </w:r>
      <w:r w:rsidR="002C7502">
        <w:rPr>
          <w:color w:val="000000" w:themeColor="text1"/>
        </w:rPr>
        <w:t>–</w:t>
      </w:r>
      <w:r w:rsidR="002C7502" w:rsidRPr="5ACAB0F0">
        <w:rPr>
          <w:color w:val="000000" w:themeColor="text1"/>
        </w:rPr>
        <w:t xml:space="preserve"> </w:t>
      </w:r>
      <w:r w:rsidRPr="5ACAB0F0">
        <w:rPr>
          <w:color w:val="000000" w:themeColor="text1"/>
        </w:rPr>
        <w:t xml:space="preserve">which are then monetised through targeted </w:t>
      </w:r>
      <w:r w:rsidR="007F09BC">
        <w:rPr>
          <w:color w:val="000000" w:themeColor="text1"/>
        </w:rPr>
        <w:t xml:space="preserve">advertising </w:t>
      </w:r>
      <w:r w:rsidR="007F09BC" w:rsidRPr="00A20243">
        <w:rPr>
          <w:color w:val="000000" w:themeColor="text1"/>
        </w:rPr>
        <w:t>or</w:t>
      </w:r>
      <w:r w:rsidRPr="00A20243">
        <w:rPr>
          <w:color w:val="000000" w:themeColor="text1"/>
        </w:rPr>
        <w:t xml:space="preserve"> </w:t>
      </w:r>
      <w:r w:rsidR="007F09BC" w:rsidRPr="00A20243">
        <w:rPr>
          <w:color w:val="000000" w:themeColor="text1"/>
        </w:rPr>
        <w:t xml:space="preserve">in-app </w:t>
      </w:r>
      <w:r w:rsidR="002A0D8A" w:rsidRPr="00A20243">
        <w:rPr>
          <w:color w:val="000000" w:themeColor="text1"/>
        </w:rPr>
        <w:t>purchases</w:t>
      </w:r>
      <w:r w:rsidR="007F09BC" w:rsidRPr="00A20243">
        <w:rPr>
          <w:color w:val="000000" w:themeColor="text1"/>
        </w:rPr>
        <w:t xml:space="preserve"> and</w:t>
      </w:r>
      <w:r w:rsidR="007F09BC">
        <w:rPr>
          <w:color w:val="000000" w:themeColor="text1"/>
        </w:rPr>
        <w:t xml:space="preserve"> </w:t>
      </w:r>
      <w:r w:rsidRPr="5ACAB0F0">
        <w:rPr>
          <w:color w:val="000000" w:themeColor="text1"/>
        </w:rPr>
        <w:t xml:space="preserve">sold to data brokers, </w:t>
      </w:r>
      <w:r w:rsidR="00EE3E32" w:rsidRPr="00A20243">
        <w:rPr>
          <w:color w:val="000000" w:themeColor="text1"/>
        </w:rPr>
        <w:t>used for</w:t>
      </w:r>
      <w:r w:rsidR="00030885" w:rsidRPr="00A20243">
        <w:rPr>
          <w:color w:val="000000" w:themeColor="text1"/>
        </w:rPr>
        <w:t xml:space="preserve"> added</w:t>
      </w:r>
      <w:r w:rsidR="00057D2E" w:rsidRPr="00A20243">
        <w:rPr>
          <w:color w:val="000000" w:themeColor="text1"/>
        </w:rPr>
        <w:t xml:space="preserve"> </w:t>
      </w:r>
      <w:r w:rsidR="00030885" w:rsidRPr="00A20243">
        <w:rPr>
          <w:color w:val="000000" w:themeColor="text1"/>
        </w:rPr>
        <w:t>revenue</w:t>
      </w:r>
      <w:r w:rsidRPr="5ACAB0F0">
        <w:rPr>
          <w:color w:val="000000" w:themeColor="text1"/>
        </w:rPr>
        <w:t>, or shared with third-party platforms.</w:t>
      </w:r>
      <w:r w:rsidRPr="3CE6C83F">
        <w:rPr>
          <w:rStyle w:val="FootnoteReference"/>
          <w:color w:val="000000" w:themeColor="text1"/>
        </w:rPr>
        <w:footnoteReference w:id="1"/>
      </w:r>
      <w:r w:rsidRPr="5ACAB0F0">
        <w:rPr>
          <w:color w:val="000000" w:themeColor="text1"/>
        </w:rPr>
        <w:t xml:space="preserve"> Children are particularly vulnerable in this context because they are less able to understand what they are agreeing to, less aware of the long-term consequences, and more susceptible to manipulative design.</w:t>
      </w:r>
      <w:r w:rsidRPr="30F0DD3C">
        <w:rPr>
          <w:rStyle w:val="FootnoteReference"/>
          <w:color w:val="000000" w:themeColor="text1"/>
        </w:rPr>
        <w:footnoteReference w:id="2"/>
      </w:r>
    </w:p>
    <w:p w14:paraId="4E1D55B3" w14:textId="5AE38D1D" w:rsidR="2F63F9F5" w:rsidRDefault="2F63F9F5" w:rsidP="00125386">
      <w:pPr>
        <w:spacing w:before="240" w:after="240" w:line="259" w:lineRule="auto"/>
        <w:rPr>
          <w:color w:val="000000" w:themeColor="text1"/>
        </w:rPr>
      </w:pPr>
      <w:r w:rsidRPr="5ACAB0F0">
        <w:rPr>
          <w:color w:val="000000" w:themeColor="text1"/>
        </w:rPr>
        <w:t xml:space="preserve">The current Code addresses this risk indirectly through consent requirements, privacy-by-default settings, and the best </w:t>
      </w:r>
      <w:r w:rsidR="528A7362" w:rsidRPr="3986B91B">
        <w:rPr>
          <w:color w:val="000000" w:themeColor="text1"/>
        </w:rPr>
        <w:t>interests</w:t>
      </w:r>
      <w:r w:rsidRPr="5ACAB0F0">
        <w:rPr>
          <w:color w:val="000000" w:themeColor="text1"/>
        </w:rPr>
        <w:t xml:space="preserve"> test</w:t>
      </w:r>
      <w:r w:rsidR="25BD3328" w:rsidRPr="53450728">
        <w:rPr>
          <w:color w:val="000000" w:themeColor="text1"/>
        </w:rPr>
        <w:t>,</w:t>
      </w:r>
      <w:r w:rsidRPr="53450728">
        <w:rPr>
          <w:color w:val="000000" w:themeColor="text1"/>
        </w:rPr>
        <w:t xml:space="preserve"> </w:t>
      </w:r>
      <w:r w:rsidR="13891017" w:rsidRPr="53450728">
        <w:rPr>
          <w:color w:val="000000" w:themeColor="text1"/>
        </w:rPr>
        <w:t>b</w:t>
      </w:r>
      <w:r w:rsidRPr="5ACAB0F0">
        <w:rPr>
          <w:color w:val="000000" w:themeColor="text1"/>
        </w:rPr>
        <w:t xml:space="preserve">ut none of </w:t>
      </w:r>
      <w:proofErr w:type="gramStart"/>
      <w:r w:rsidRPr="5ACAB0F0">
        <w:rPr>
          <w:color w:val="000000" w:themeColor="text1"/>
        </w:rPr>
        <w:t>these amount</w:t>
      </w:r>
      <w:proofErr w:type="gramEnd"/>
      <w:r w:rsidRPr="5ACAB0F0">
        <w:rPr>
          <w:color w:val="000000" w:themeColor="text1"/>
        </w:rPr>
        <w:t xml:space="preserve"> to a hard prohibition on data being sold or transferred for commercial gain. An entity could, in theory, obtain technically valid consent (e.g. parental consent for an under-15) to share a child</w:t>
      </w:r>
      <w:r w:rsidR="005E76ED">
        <w:rPr>
          <w:color w:val="000000" w:themeColor="text1"/>
        </w:rPr>
        <w:t>’</w:t>
      </w:r>
      <w:r w:rsidRPr="5ACAB0F0">
        <w:rPr>
          <w:color w:val="000000" w:themeColor="text1"/>
        </w:rPr>
        <w:t>s data with third parties for commercial purposes, and then argue that arrangement is not inconsistent with the child</w:t>
      </w:r>
      <w:r w:rsidR="005E76ED">
        <w:rPr>
          <w:color w:val="000000" w:themeColor="text1"/>
        </w:rPr>
        <w:t>’</w:t>
      </w:r>
      <w:r w:rsidRPr="5ACAB0F0">
        <w:rPr>
          <w:color w:val="000000" w:themeColor="text1"/>
        </w:rPr>
        <w:t xml:space="preserve">s best interests. </w:t>
      </w:r>
    </w:p>
    <w:p w14:paraId="20843253" w14:textId="1E290FAF" w:rsidR="2F63F9F5" w:rsidRDefault="2F63F9F5" w:rsidP="00125386">
      <w:pPr>
        <w:spacing w:before="240" w:after="240" w:line="259" w:lineRule="auto"/>
        <w:rPr>
          <w:color w:val="000000" w:themeColor="text1"/>
        </w:rPr>
      </w:pPr>
      <w:r w:rsidRPr="5ACAB0F0">
        <w:rPr>
          <w:color w:val="000000" w:themeColor="text1"/>
        </w:rPr>
        <w:t>Data monetisation is deeply embedded in the business models of many online platforms,</w:t>
      </w:r>
      <w:r w:rsidRPr="3CE6C83F">
        <w:rPr>
          <w:rStyle w:val="FootnoteReference"/>
          <w:color w:val="000000" w:themeColor="text1"/>
        </w:rPr>
        <w:footnoteReference w:id="3"/>
      </w:r>
      <w:r w:rsidRPr="5ACAB0F0">
        <w:rPr>
          <w:color w:val="000000" w:themeColor="text1"/>
        </w:rPr>
        <w:t xml:space="preserve"> and the concern is that without an explicit prohibition, the Code</w:t>
      </w:r>
      <w:r w:rsidR="005E76ED">
        <w:rPr>
          <w:color w:val="000000" w:themeColor="text1"/>
        </w:rPr>
        <w:t>’</w:t>
      </w:r>
      <w:r w:rsidRPr="5ACAB0F0">
        <w:rPr>
          <w:color w:val="000000" w:themeColor="text1"/>
        </w:rPr>
        <w:t xml:space="preserve">s principles-based approach may not be strong enough to override those incentives in practice. </w:t>
      </w:r>
    </w:p>
    <w:p w14:paraId="5B24F7DD" w14:textId="28B16967" w:rsidR="2F63F9F5" w:rsidRDefault="2F63F9F5" w:rsidP="00125386">
      <w:pPr>
        <w:spacing w:before="240" w:after="240" w:line="259" w:lineRule="auto"/>
        <w:rPr>
          <w:color w:val="000000" w:themeColor="text1"/>
        </w:rPr>
      </w:pPr>
      <w:r w:rsidRPr="5ACAB0F0">
        <w:rPr>
          <w:color w:val="000000" w:themeColor="text1"/>
        </w:rPr>
        <w:t>Given the significant commercial incentives to monetise children</w:t>
      </w:r>
      <w:r w:rsidR="005E76ED">
        <w:rPr>
          <w:color w:val="000000" w:themeColor="text1"/>
        </w:rPr>
        <w:t>’</w:t>
      </w:r>
      <w:r w:rsidRPr="5ACAB0F0">
        <w:rPr>
          <w:color w:val="000000" w:themeColor="text1"/>
        </w:rPr>
        <w:t xml:space="preserve">s data and the difficulty of enforcing principles-based protections against determined actors, </w:t>
      </w:r>
      <w:r w:rsidR="41686084" w:rsidRPr="3CE6C83F">
        <w:rPr>
          <w:color w:val="000000" w:themeColor="text1"/>
        </w:rPr>
        <w:t>we</w:t>
      </w:r>
      <w:r w:rsidRPr="5ACAB0F0">
        <w:rPr>
          <w:color w:val="000000" w:themeColor="text1"/>
        </w:rPr>
        <w:t xml:space="preserve"> recommend </w:t>
      </w:r>
      <w:r w:rsidRPr="393CFE1E">
        <w:rPr>
          <w:color w:val="000000" w:themeColor="text1"/>
        </w:rPr>
        <w:t>th</w:t>
      </w:r>
      <w:r w:rsidR="5095EDBC" w:rsidRPr="393CFE1E">
        <w:rPr>
          <w:color w:val="000000" w:themeColor="text1"/>
        </w:rPr>
        <w:t>at the</w:t>
      </w:r>
      <w:r w:rsidRPr="5ACAB0F0">
        <w:rPr>
          <w:color w:val="000000" w:themeColor="text1"/>
        </w:rPr>
        <w:t xml:space="preserve"> Code </w:t>
      </w:r>
      <w:r w:rsidRPr="393CFE1E">
        <w:rPr>
          <w:color w:val="000000" w:themeColor="text1"/>
        </w:rPr>
        <w:t>include</w:t>
      </w:r>
      <w:r w:rsidR="60A7B291" w:rsidRPr="393CFE1E">
        <w:rPr>
          <w:color w:val="000000" w:themeColor="text1"/>
        </w:rPr>
        <w:t>s</w:t>
      </w:r>
      <w:r w:rsidRPr="5ACAB0F0">
        <w:rPr>
          <w:color w:val="000000" w:themeColor="text1"/>
        </w:rPr>
        <w:t xml:space="preserve"> an explicit prohibition on the sale or disclosure of children</w:t>
      </w:r>
      <w:r w:rsidR="005E76ED">
        <w:rPr>
          <w:color w:val="000000" w:themeColor="text1"/>
        </w:rPr>
        <w:t>’</w:t>
      </w:r>
      <w:r w:rsidRPr="5ACAB0F0">
        <w:rPr>
          <w:color w:val="000000" w:themeColor="text1"/>
        </w:rPr>
        <w:t xml:space="preserve">s personal information for commercial purposes. </w:t>
      </w:r>
    </w:p>
    <w:p w14:paraId="2F4E5999" w14:textId="4C96A351" w:rsidR="2F63F9F5" w:rsidRDefault="2F63F9F5" w:rsidP="00125386">
      <w:pPr>
        <w:spacing w:before="240" w:after="240" w:line="259" w:lineRule="auto"/>
      </w:pPr>
      <w:r w:rsidRPr="5ACAB0F0">
        <w:rPr>
          <w:color w:val="000000" w:themeColor="text1"/>
        </w:rPr>
        <w:t>Such a prohibition would strengthen the Code</w:t>
      </w:r>
      <w:r w:rsidR="005E76ED">
        <w:rPr>
          <w:color w:val="000000" w:themeColor="text1"/>
        </w:rPr>
        <w:t>’</w:t>
      </w:r>
      <w:r w:rsidRPr="5ACAB0F0">
        <w:rPr>
          <w:color w:val="000000" w:themeColor="text1"/>
        </w:rPr>
        <w:t>s protections, reduce compliance uncertainty, and send a clear signal that children</w:t>
      </w:r>
      <w:r w:rsidR="005E76ED">
        <w:rPr>
          <w:color w:val="000000" w:themeColor="text1"/>
        </w:rPr>
        <w:t>’</w:t>
      </w:r>
      <w:r w:rsidRPr="5ACAB0F0">
        <w:rPr>
          <w:color w:val="000000" w:themeColor="text1"/>
        </w:rPr>
        <w:t xml:space="preserve">s rights are prioritised over commercial interests in Australia. </w:t>
      </w:r>
    </w:p>
    <w:p w14:paraId="558A2BA1" w14:textId="20D129CC" w:rsidR="2F63F9F5" w:rsidRDefault="2F63F9F5" w:rsidP="00125386">
      <w:pPr>
        <w:spacing w:before="240" w:after="240" w:line="259" w:lineRule="auto"/>
        <w:rPr>
          <w:b/>
          <w:color w:val="000000" w:themeColor="text1"/>
        </w:rPr>
      </w:pPr>
      <w:r w:rsidRPr="3CE6C83F">
        <w:rPr>
          <w:b/>
          <w:color w:val="000000" w:themeColor="text1"/>
        </w:rPr>
        <w:lastRenderedPageBreak/>
        <w:t>An explicit prohibition is needed to disrupt the foundational data commercialisation mechanisms and ecosystems that currently drive the commercial exploitation of children</w:t>
      </w:r>
      <w:r w:rsidR="005E76ED">
        <w:rPr>
          <w:b/>
          <w:color w:val="000000" w:themeColor="text1"/>
        </w:rPr>
        <w:t>’</w:t>
      </w:r>
      <w:r w:rsidRPr="3CE6C83F">
        <w:rPr>
          <w:b/>
          <w:color w:val="000000" w:themeColor="text1"/>
        </w:rPr>
        <w:t>s personal information online.</w:t>
      </w:r>
    </w:p>
    <w:p w14:paraId="43C2F399" w14:textId="2E049DBE" w:rsidR="31EF0E63" w:rsidRDefault="31EF0E63" w:rsidP="00125386">
      <w:pPr>
        <w:spacing w:before="240" w:after="240" w:line="259" w:lineRule="auto"/>
      </w:pPr>
      <w:r w:rsidRPr="3CE6C83F">
        <w:rPr>
          <w:color w:val="000000" w:themeColor="text1"/>
        </w:rPr>
        <w:t xml:space="preserve">We note that </w:t>
      </w:r>
      <w:r w:rsidR="732356B3" w:rsidRPr="3CE6C83F">
        <w:rPr>
          <w:color w:val="000000" w:themeColor="text1"/>
        </w:rPr>
        <w:t>in the US</w:t>
      </w:r>
      <w:r w:rsidRPr="3CE6C83F">
        <w:rPr>
          <w:color w:val="000000" w:themeColor="text1"/>
        </w:rPr>
        <w:t xml:space="preserve"> </w:t>
      </w:r>
      <w:r w:rsidR="732356B3" w:rsidRPr="3CE6C83F">
        <w:rPr>
          <w:color w:val="000000" w:themeColor="text1"/>
        </w:rPr>
        <w:t xml:space="preserve">the Federal Trade Commission (FTC) </w:t>
      </w:r>
      <w:r w:rsidR="732356B3" w:rsidRPr="3CE6C83F">
        <w:t>has treated the unauthorised sharing and monetisation of children</w:t>
      </w:r>
      <w:r w:rsidR="005E76ED">
        <w:t>’</w:t>
      </w:r>
      <w:r w:rsidR="732356B3" w:rsidRPr="3CE6C83F">
        <w:t>s data with advertising networks and data brokers as an unfair or deceptive practice through its enforcement actions under the COPPA Rule.</w:t>
      </w:r>
      <w:r w:rsidRPr="3CE6C83F">
        <w:rPr>
          <w:rStyle w:val="FootnoteReference"/>
          <w:color w:val="000000" w:themeColor="text1"/>
        </w:rPr>
        <w:footnoteReference w:id="4"/>
      </w:r>
      <w:r w:rsidR="732356B3" w:rsidRPr="3CE6C83F">
        <w:rPr>
          <w:color w:val="000000" w:themeColor="text1"/>
        </w:rPr>
        <w:t xml:space="preserve"> </w:t>
      </w:r>
    </w:p>
    <w:p w14:paraId="0065FE68" w14:textId="1EA72658" w:rsidR="732356B3" w:rsidRDefault="732356B3" w:rsidP="00125386">
      <w:pPr>
        <w:spacing w:before="240" w:after="240" w:line="259" w:lineRule="auto"/>
      </w:pPr>
      <w:r w:rsidRPr="3CE6C83F">
        <w:rPr>
          <w:color w:val="000000" w:themeColor="text1"/>
        </w:rPr>
        <w:t>Recently, the FTC also</w:t>
      </w:r>
      <w:r w:rsidR="31EF0E63" w:rsidRPr="3CE6C83F">
        <w:rPr>
          <w:color w:val="000000" w:themeColor="text1"/>
        </w:rPr>
        <w:t xml:space="preserve"> strengthened its approach to the commercialisation of children</w:t>
      </w:r>
      <w:r w:rsidR="005E76ED">
        <w:rPr>
          <w:color w:val="000000" w:themeColor="text1"/>
        </w:rPr>
        <w:t>’</w:t>
      </w:r>
      <w:r w:rsidR="31EF0E63" w:rsidRPr="3CE6C83F">
        <w:rPr>
          <w:color w:val="000000" w:themeColor="text1"/>
        </w:rPr>
        <w:t xml:space="preserve">s data </w:t>
      </w:r>
      <w:r w:rsidR="6A0D2273" w:rsidRPr="3CE6C83F">
        <w:rPr>
          <w:color w:val="000000" w:themeColor="text1"/>
        </w:rPr>
        <w:t>throug</w:t>
      </w:r>
      <w:r w:rsidR="31EF0E63" w:rsidRPr="3CE6C83F">
        <w:rPr>
          <w:color w:val="000000" w:themeColor="text1"/>
        </w:rPr>
        <w:t xml:space="preserve">h a 2025 update to </w:t>
      </w:r>
      <w:r w:rsidR="31EF0E63" w:rsidRPr="3CE6C83F">
        <w:t>the Children</w:t>
      </w:r>
      <w:r w:rsidR="005E76ED">
        <w:t>’</w:t>
      </w:r>
      <w:r w:rsidR="31EF0E63" w:rsidRPr="3CE6C83F">
        <w:t xml:space="preserve">s Online Privacy Protection Rule (COPPA Rule). </w:t>
      </w:r>
      <w:r w:rsidR="7A3F943E" w:rsidRPr="3CE6C83F">
        <w:t>The updated Rule requires separate, active parental opt-in consent before operators may disclose children</w:t>
      </w:r>
      <w:r w:rsidR="005E76ED">
        <w:t>’</w:t>
      </w:r>
      <w:r w:rsidR="7A3F943E" w:rsidRPr="3CE6C83F">
        <w:t xml:space="preserve">s data to third parties for targeted </w:t>
      </w:r>
      <w:r w:rsidR="0EDF8F35">
        <w:t>advertising and</w:t>
      </w:r>
      <w:r w:rsidR="7A3F943E" w:rsidRPr="3CE6C83F">
        <w:t xml:space="preserve"> prohibits operators from conditioning children</w:t>
      </w:r>
      <w:r w:rsidR="005E76ED">
        <w:t>’</w:t>
      </w:r>
      <w:r w:rsidR="7A3F943E" w:rsidRPr="3CE6C83F">
        <w:t xml:space="preserve">s access to services on providing that consent. </w:t>
      </w:r>
    </w:p>
    <w:p w14:paraId="478E9E7A" w14:textId="3864A6CD" w:rsidR="00AC6EC8" w:rsidRDefault="16A55276" w:rsidP="00125386">
      <w:pPr>
        <w:spacing w:before="240" w:after="240" w:line="259" w:lineRule="auto"/>
      </w:pPr>
      <w:r>
        <w:t xml:space="preserve">We submit that Australia should go </w:t>
      </w:r>
      <w:r w:rsidR="30B2FF1B">
        <w:t>further and</w:t>
      </w:r>
      <w:r>
        <w:t xml:space="preserve"> adopt an explicit prohibition </w:t>
      </w:r>
      <w:r w:rsidR="23D0CA82">
        <w:t>because</w:t>
      </w:r>
      <w:r>
        <w:t xml:space="preserve"> consent-based framework</w:t>
      </w:r>
      <w:r w:rsidR="726F3853">
        <w:t>s</w:t>
      </w:r>
      <w:r>
        <w:t xml:space="preserve"> </w:t>
      </w:r>
      <w:r w:rsidR="00770D15">
        <w:t xml:space="preserve">– </w:t>
      </w:r>
      <w:r>
        <w:t xml:space="preserve">even well-designed ones </w:t>
      </w:r>
      <w:r w:rsidR="00770D15">
        <w:t xml:space="preserve">– </w:t>
      </w:r>
      <w:r>
        <w:t>are susceptible to manipulation</w:t>
      </w:r>
      <w:r w:rsidR="00FA0870">
        <w:t xml:space="preserve"> </w:t>
      </w:r>
      <w:r>
        <w:t xml:space="preserve">and erosion over time, particularly given the </w:t>
      </w:r>
      <w:r w:rsidR="6CB07ACF">
        <w:t xml:space="preserve">force of the </w:t>
      </w:r>
      <w:r>
        <w:t>commercial incentives at play.</w:t>
      </w:r>
      <w:r w:rsidRPr="71B16DE9">
        <w:rPr>
          <w:rStyle w:val="FootnoteReference"/>
        </w:rPr>
        <w:footnoteReference w:id="5"/>
      </w:r>
      <w:r>
        <w:t xml:space="preserve"> Second, a clear prohibition is easier to enforce, easier for children and parents to understand, and sends an unambiguous signal that children</w:t>
      </w:r>
      <w:r w:rsidR="005E76ED">
        <w:t>’</w:t>
      </w:r>
      <w:r>
        <w:t>s personal information is not a commercial commodity.</w:t>
      </w:r>
      <w:r w:rsidR="36E2E0A3">
        <w:t xml:space="preserve"> </w:t>
      </w:r>
      <w:r>
        <w:t>The Australian Code, as currently drafted</w:t>
      </w:r>
      <w:r w:rsidR="29DA164A">
        <w:t xml:space="preserve"> </w:t>
      </w:r>
      <w:r>
        <w:t xml:space="preserve">leaves room for commercial arrangements to be structured in ways that technically comply while still </w:t>
      </w:r>
      <w:r w:rsidR="5112995D">
        <w:t xml:space="preserve">allowing for the sale of </w:t>
      </w:r>
      <w:r>
        <w:t>children</w:t>
      </w:r>
      <w:r w:rsidR="005E76ED">
        <w:t>’</w:t>
      </w:r>
      <w:r>
        <w:t xml:space="preserve">s </w:t>
      </w:r>
      <w:r w:rsidR="6F11254B">
        <w:t xml:space="preserve">personal data to third parties. </w:t>
      </w:r>
      <w:r>
        <w:t>An explicit prohibition would close that gap.</w:t>
      </w:r>
    </w:p>
    <w:p w14:paraId="2F5137D5" w14:textId="39BAFCEE" w:rsidR="028270E8" w:rsidRDefault="00AC6EC8" w:rsidP="00BD6CAD">
      <w:pPr>
        <w:pStyle w:val="Heading1"/>
      </w:pPr>
      <w:bookmarkStart w:id="24" w:name="_Toc230295213"/>
      <w:bookmarkStart w:id="25" w:name="_Toc230896249"/>
      <w:r>
        <w:t>Accessibility for children with disabilities</w:t>
      </w:r>
      <w:bookmarkEnd w:id="24"/>
      <w:bookmarkEnd w:id="25"/>
    </w:p>
    <w:p w14:paraId="66963A9D" w14:textId="5D6A0D02" w:rsidR="3CF2AABC" w:rsidRPr="007E24BC" w:rsidRDefault="3CF2AABC" w:rsidP="49F02E19">
      <w:pPr>
        <w:spacing w:before="240" w:after="240" w:line="259" w:lineRule="auto"/>
        <w:rPr>
          <w:b/>
        </w:rPr>
      </w:pPr>
      <w:r w:rsidRPr="68ED6CBA">
        <w:rPr>
          <w:b/>
        </w:rPr>
        <w:t xml:space="preserve">Recommendation: </w:t>
      </w:r>
      <w:r w:rsidR="007E24BC" w:rsidRPr="68ED6CBA">
        <w:rPr>
          <w:b/>
        </w:rPr>
        <w:t>Strengthen accessibility requirements for children with disabilities (see specific amendment recommendations)</w:t>
      </w:r>
    </w:p>
    <w:p w14:paraId="382B221A" w14:textId="36071F4D" w:rsidR="3CF2AABC" w:rsidRDefault="643991C8" w:rsidP="49F02E19">
      <w:pPr>
        <w:spacing w:before="240" w:after="240" w:line="259" w:lineRule="auto"/>
      </w:pPr>
      <w:r w:rsidRPr="2C57C2DB">
        <w:rPr>
          <w:color w:val="000000" w:themeColor="text1"/>
        </w:rPr>
        <w:t xml:space="preserve">The Code represents </w:t>
      </w:r>
      <w:r w:rsidRPr="188CDDDD">
        <w:rPr>
          <w:color w:val="000000" w:themeColor="text1"/>
        </w:rPr>
        <w:t>a</w:t>
      </w:r>
      <w:r w:rsidR="5521D567" w:rsidRPr="188CDDDD">
        <w:rPr>
          <w:color w:val="000000" w:themeColor="text1"/>
        </w:rPr>
        <w:t>n</w:t>
      </w:r>
      <w:r w:rsidRPr="2C57C2DB">
        <w:rPr>
          <w:color w:val="000000" w:themeColor="text1"/>
        </w:rPr>
        <w:t xml:space="preserve"> opportunity to ensure stronger data privacy protections for all Australian children. </w:t>
      </w:r>
      <w:r w:rsidRPr="3E70F0EA">
        <w:rPr>
          <w:color w:val="000000" w:themeColor="text1"/>
        </w:rPr>
        <w:t>However</w:t>
      </w:r>
      <w:r w:rsidR="3CF2AABC" w:rsidRPr="3E70F0EA" w:rsidDel="643991C8">
        <w:rPr>
          <w:color w:val="000000" w:themeColor="text1"/>
        </w:rPr>
        <w:t xml:space="preserve">, </w:t>
      </w:r>
      <w:r>
        <w:t xml:space="preserve">as currently drafted, </w:t>
      </w:r>
      <w:r w:rsidR="35B68DBB">
        <w:t xml:space="preserve">we are concerned the Code </w:t>
      </w:r>
      <w:r>
        <w:t xml:space="preserve">does not address the privacy rights and needs of children with disabilities, including children with print </w:t>
      </w:r>
      <w:r w:rsidR="313278B8">
        <w:t>and cognitive</w:t>
      </w:r>
      <w:r w:rsidR="21E6C625">
        <w:t xml:space="preserve"> </w:t>
      </w:r>
      <w:r>
        <w:t xml:space="preserve">disabilities. </w:t>
      </w:r>
    </w:p>
    <w:p w14:paraId="290D8928" w14:textId="6C3F3DE8" w:rsidR="3CF2AABC" w:rsidRDefault="3CF2AABC" w:rsidP="3E70F0EA">
      <w:pPr>
        <w:spacing w:before="240" w:after="240" w:line="259" w:lineRule="auto"/>
      </w:pPr>
      <w:r>
        <w:t>Children with disabilities</w:t>
      </w:r>
      <w:r w:rsidR="0006359A">
        <w:t>,</w:t>
      </w:r>
      <w:r>
        <w:t xml:space="preserve"> </w:t>
      </w:r>
      <w:r w:rsidR="0006359A">
        <w:t xml:space="preserve">including print disabilities </w:t>
      </w:r>
      <w:r>
        <w:t>affecting their ability to read standard print</w:t>
      </w:r>
      <w:r w:rsidR="00006BEA">
        <w:t>,</w:t>
      </w:r>
      <w:r>
        <w:t xml:space="preserve"> are among the heaviest users of digital services and assistive technologies. They interact with online platforms through screen readers, braille displays, text-to-speech software, and other assistive tools. Their engagement with privacy-related information, consent mechanisms, and complaint processes is mediated entirely through these technologies. Yet the Code makes no reference to disability, accessible formats, or assistive technology anywhere in its provisions. As Goggin and Ellis</w:t>
      </w:r>
      <w:r w:rsidRPr="028270E8">
        <w:rPr>
          <w:rStyle w:val="FootnoteReference"/>
        </w:rPr>
        <w:footnoteReference w:id="6"/>
      </w:r>
      <w:r>
        <w:t xml:space="preserve"> have argued, children with disabilities have been </w:t>
      </w:r>
      <w:r w:rsidR="005E76ED">
        <w:t>“</w:t>
      </w:r>
      <w:r>
        <w:t>an overlooked group in the debates on privacy and data management</w:t>
      </w:r>
      <w:r w:rsidR="005E76ED">
        <w:t>”</w:t>
      </w:r>
      <w:r w:rsidR="00D34D5C">
        <w:t>.</w:t>
      </w:r>
      <w:r>
        <w:t xml:space="preserve"> Alper and Goggin</w:t>
      </w:r>
      <w:r w:rsidRPr="028270E8">
        <w:rPr>
          <w:rStyle w:val="FootnoteReference"/>
        </w:rPr>
        <w:footnoteReference w:id="7"/>
      </w:r>
      <w:r>
        <w:t xml:space="preserve"> similarly demonstrate that digital rights frameworks routinely fail to account for the specific needs and experiences of children with disabilities.</w:t>
      </w:r>
    </w:p>
    <w:p w14:paraId="79BCD838" w14:textId="5D53A722" w:rsidR="3CF2AABC" w:rsidRDefault="3CF2AABC" w:rsidP="3E70F0EA">
      <w:pPr>
        <w:spacing w:before="240" w:after="240" w:line="259" w:lineRule="auto"/>
      </w:pPr>
      <w:r>
        <w:t>This is a significant gap. The Code</w:t>
      </w:r>
      <w:r w:rsidR="005E76ED">
        <w:t>’</w:t>
      </w:r>
      <w:r>
        <w:t xml:space="preserve">s transparency and consent requirements – which </w:t>
      </w:r>
      <w:r>
        <w:lastRenderedPageBreak/>
        <w:t xml:space="preserve">depend on children being able to read, understand, and act on privacy-related information – are rendered ineffective for any child who cannot access that information in the format it is provided. A child-friendly privacy policy delivered as an untagged PDF, an image, or a video without captions may be perfectly </w:t>
      </w:r>
      <w:r w:rsidR="005E76ED">
        <w:t>“</w:t>
      </w:r>
      <w:r>
        <w:t>age appropriate</w:t>
      </w:r>
      <w:r w:rsidR="005E76ED">
        <w:t>”</w:t>
      </w:r>
      <w:r>
        <w:t xml:space="preserve"> under the Code</w:t>
      </w:r>
      <w:r w:rsidR="005E76ED">
        <w:t>’</w:t>
      </w:r>
      <w:r>
        <w:t>s definition while being entirely inaccessible to a child with a print disability. A consent mechanism that relies on drag-and-drop interaction, CAPTCHA, or poorly labelled form elements may technically comply with the Code</w:t>
      </w:r>
      <w:r w:rsidR="005E76ED">
        <w:t>’</w:t>
      </w:r>
      <w:r>
        <w:t>s requirements while preventing a child using a screen reader from exercising their right to consent or withdraw consent.</w:t>
      </w:r>
    </w:p>
    <w:p w14:paraId="71D3ABED" w14:textId="6A067437" w:rsidR="3CF2AABC" w:rsidRDefault="3CF2AABC" w:rsidP="3E70F0EA">
      <w:pPr>
        <w:spacing w:before="240" w:after="240" w:line="259" w:lineRule="auto"/>
      </w:pPr>
      <w:r>
        <w:t xml:space="preserve">The Code addresses this risk indirectly, if at all. Several provisions require information to be </w:t>
      </w:r>
      <w:r w:rsidR="005E76ED">
        <w:t>“</w:t>
      </w:r>
      <w:r>
        <w:t>clear, concise, transparent and easily accessible</w:t>
      </w:r>
      <w:r w:rsidR="005E76ED">
        <w:t>”</w:t>
      </w:r>
      <w:r>
        <w:t xml:space="preserve"> (sections 23, 24 and 26), and some require it to be displayed in a </w:t>
      </w:r>
      <w:r w:rsidR="005E76ED">
        <w:t>“</w:t>
      </w:r>
      <w:r>
        <w:t>font size and type that is easy to read</w:t>
      </w:r>
      <w:r w:rsidR="005E76ED">
        <w:t>”</w:t>
      </w:r>
      <w:r>
        <w:t xml:space="preserve"> (sections 11(6), 23(4), 26(3) and 29(4)). These formulations reflect a narrow, print-centric conception of readability. For a child using a screen reader, font size is irrelevant; what matters is semantic structure, proper heading hierarchy, meaningful link text, and compatibility with assistive technology. The Code</w:t>
      </w:r>
      <w:r w:rsidR="005E76ED">
        <w:t>’</w:t>
      </w:r>
      <w:r>
        <w:t xml:space="preserve">s framing effectively equates </w:t>
      </w:r>
      <w:r w:rsidR="005E76ED">
        <w:t>“</w:t>
      </w:r>
      <w:r>
        <w:t>easy to read</w:t>
      </w:r>
      <w:r w:rsidR="005E76ED">
        <w:t>”</w:t>
      </w:r>
      <w:r>
        <w:t xml:space="preserve"> with visual legibility, excluding children whose access depends on entirely different modalities.</w:t>
      </w:r>
    </w:p>
    <w:p w14:paraId="0CB04758" w14:textId="1B740274" w:rsidR="3CF2AABC" w:rsidRDefault="3CF2AABC" w:rsidP="3E70F0EA">
      <w:pPr>
        <w:spacing w:before="240" w:after="240" w:line="259" w:lineRule="auto"/>
      </w:pPr>
      <w:r>
        <w:t xml:space="preserve">Multiple provisions encourage entities to incorporate </w:t>
      </w:r>
      <w:r w:rsidR="005E76ED">
        <w:t>“</w:t>
      </w:r>
      <w:r>
        <w:t>non-text material</w:t>
      </w:r>
      <w:r w:rsidR="005E76ED">
        <w:t>”</w:t>
      </w:r>
      <w:r>
        <w:t xml:space="preserve"> such as </w:t>
      </w:r>
      <w:r w:rsidR="005E76ED">
        <w:t>“</w:t>
      </w:r>
      <w:r>
        <w:t>diagrams, cartoons, graphics or video or audio content</w:t>
      </w:r>
      <w:r w:rsidR="005E76ED">
        <w:t>”</w:t>
      </w:r>
      <w:r>
        <w:t xml:space="preserve"> to engage children effectively (sections 23(3)(c), 24(2)(d), 26(2)(d)). This is a welcome recognition that children engage with information in diverse ways. However, there is no requirement that such material include alt text, audio description, captions, or transcripts. Without these safeguards, entities could shift key privacy information into visual or multimedia formats that are inaccessible to children with print disabilities, while technically meeting the Code</w:t>
      </w:r>
      <w:r w:rsidR="005E76ED">
        <w:t>’</w:t>
      </w:r>
      <w:r>
        <w:t>s requirements.</w:t>
      </w:r>
    </w:p>
    <w:p w14:paraId="2AE8ABB0" w14:textId="334EA6CB" w:rsidR="3CF2AABC" w:rsidRDefault="3CF2AABC" w:rsidP="3E70F0EA">
      <w:pPr>
        <w:spacing w:before="240" w:after="240" w:line="259" w:lineRule="auto"/>
      </w:pPr>
      <w:r>
        <w:t>The Code</w:t>
      </w:r>
      <w:r w:rsidR="005E76ED">
        <w:t>’</w:t>
      </w:r>
      <w:r>
        <w:t xml:space="preserve">s definition of </w:t>
      </w:r>
      <w:r w:rsidR="005E76ED">
        <w:t>“</w:t>
      </w:r>
      <w:r>
        <w:t>age appropriate</w:t>
      </w:r>
      <w:r w:rsidR="005E76ED">
        <w:t>”</w:t>
      </w:r>
      <w:r>
        <w:t xml:space="preserve"> (section 4) is a developmental benchmark only. It does not encompass accessibility. A companion definition of </w:t>
      </w:r>
      <w:r w:rsidR="005E76ED">
        <w:t>“</w:t>
      </w:r>
      <w:r>
        <w:t>accessible</w:t>
      </w:r>
      <w:r w:rsidR="005E76ED">
        <w:t>”</w:t>
      </w:r>
      <w:r>
        <w:t xml:space="preserve"> is needed, one that references the Web Content Accessibility Guidelines (WCAG) 2.2 at minimum AA conformance and requires that all information provided under the Code meet both the </w:t>
      </w:r>
      <w:r w:rsidR="005E76ED">
        <w:t>“</w:t>
      </w:r>
      <w:r>
        <w:t>age appropriate</w:t>
      </w:r>
      <w:r w:rsidR="005E76ED">
        <w:t>”</w:t>
      </w:r>
      <w:r>
        <w:t xml:space="preserve"> and </w:t>
      </w:r>
      <w:r w:rsidR="005E76ED">
        <w:t>“</w:t>
      </w:r>
      <w:r>
        <w:t>accessible</w:t>
      </w:r>
      <w:r w:rsidR="005E76ED">
        <w:t>”</w:t>
      </w:r>
      <w:r>
        <w:t xml:space="preserve"> standards.</w:t>
      </w:r>
    </w:p>
    <w:p w14:paraId="1F488D09" w14:textId="49F4CCD9" w:rsidR="005D5A82" w:rsidRDefault="005D5A82" w:rsidP="71B16DE9">
      <w:pPr>
        <w:spacing w:after="160" w:line="257" w:lineRule="auto"/>
      </w:pPr>
      <w:r w:rsidRPr="71B16DE9">
        <w:t>This developmental framing also treats age as a proxy both for the information a child can engage with and for the capacity to give consent — a proxy that may work poorly for children with forms of cognitive disability. Section 4 sets the benchmark for “age appropriate” information at either the youngest child in the targeted age range or, by default, a 10–</w:t>
      </w:r>
      <w:proofErr w:type="gramStart"/>
      <w:r w:rsidRPr="71B16DE9">
        <w:t>12 year-old</w:t>
      </w:r>
      <w:proofErr w:type="gramEnd"/>
      <w:r w:rsidRPr="71B16DE9">
        <w:t xml:space="preserve">. This treats chronological age as a stand-in for cognitive capacity — an assumption that does not hold for children with cognitive disability, who may need plain language, Easy Read, or other established accessibility formats regardless of age. </w:t>
      </w:r>
    </w:p>
    <w:p w14:paraId="6892138E" w14:textId="2A179BFA" w:rsidR="005D5A82" w:rsidRDefault="005D5A82" w:rsidP="71B16DE9">
      <w:pPr>
        <w:spacing w:after="160" w:line="257" w:lineRule="auto"/>
      </w:pPr>
      <w:r w:rsidRPr="71B16DE9">
        <w:t>The same proxy problem runs through the Code's consent regime. For instance,  section 13 sets 15 as the threshold for self-consent, and section 32(1)(c) acknowledges that a child of 15 or over may “lack capacity” to make a destruction request, but the Code provides no guidance on how capacity is to be assessed and no obligation on entities to support a child with cognitive disability to exercise their rights where they are able to do so. This is inconsistent with Article 12 of the Convention on the Rights of Persons with Disabilities, which establishes supported decision-making as a right, and with Article 7, which requires that disabled children's views be given due weight on an equal basis with other children. We recommend that the companion definition of “accessible” proposed above expressly includes cognitive accessibility.</w:t>
      </w:r>
    </w:p>
    <w:p w14:paraId="1A71E32A" w14:textId="0651199A" w:rsidR="3CF2AABC" w:rsidRDefault="3CF2AABC" w:rsidP="3E70F0EA">
      <w:pPr>
        <w:spacing w:before="240" w:after="240" w:line="259" w:lineRule="auto"/>
      </w:pPr>
      <w:r w:rsidRPr="71B16DE9">
        <w:rPr>
          <w:sz w:val="24"/>
          <w:szCs w:val="24"/>
        </w:rPr>
        <w:t>Similar gaps</w:t>
      </w:r>
      <w:r>
        <w:t xml:space="preserve"> exist across other parts of the Code. The </w:t>
      </w:r>
      <w:r w:rsidR="007C2E63">
        <w:t xml:space="preserve">requirements to ascertain </w:t>
      </w:r>
      <w:r>
        <w:t xml:space="preserve">age in section 8 do not acknowledge that common </w:t>
      </w:r>
      <w:r w:rsidR="007C2E63">
        <w:t>age assurance</w:t>
      </w:r>
      <w:r>
        <w:t xml:space="preserve"> methods – facial estimation, </w:t>
      </w:r>
      <w:r>
        <w:lastRenderedPageBreak/>
        <w:t xml:space="preserve">ID scanning, interactive challenges – may be inaccessible to children with </w:t>
      </w:r>
      <w:r w:rsidR="00076C52">
        <w:t xml:space="preserve">print </w:t>
      </w:r>
      <w:r>
        <w:t xml:space="preserve">disabilities. The inquiry and complaint mechanisms required by Division 7 must be </w:t>
      </w:r>
      <w:r w:rsidR="005E76ED">
        <w:t>“</w:t>
      </w:r>
      <w:r>
        <w:t>clear, simple and easily accessible</w:t>
      </w:r>
      <w:r w:rsidR="005E76ED">
        <w:t>”</w:t>
      </w:r>
      <w:r>
        <w:t>, but there is no requirement that they be operable by children using assistive technologies. The privacy impact assessment requirements in section 38 do not require entities to assess whether their privacy practices create accessibility barriers for children with disabilities. The privacy education and training requirements in section 40 do not include disability awareness or familiarity with assistive technologies.</w:t>
      </w:r>
    </w:p>
    <w:p w14:paraId="2E87717A" w14:textId="062CD794" w:rsidR="3CF2AABC" w:rsidRDefault="0C628AAD" w:rsidP="3E70F0EA">
      <w:pPr>
        <w:spacing w:before="240" w:after="240" w:line="259" w:lineRule="auto"/>
      </w:pPr>
      <w:r>
        <w:t>Critically, the Code makes no reference to existing legal framework</w:t>
      </w:r>
      <w:r w:rsidR="16AE2E95">
        <w:t>s</w:t>
      </w:r>
      <w:r>
        <w:t xml:space="preserve"> for disability rights. The </w:t>
      </w:r>
      <w:r w:rsidRPr="508D9A65">
        <w:rPr>
          <w:i/>
          <w:iCs/>
        </w:rPr>
        <w:t>Disability Discrimination Act 1992</w:t>
      </w:r>
      <w:r>
        <w:t>, the UN Convention on the Rights of Persons with Disabilities (particularly Articles 7, 9, and 21), and the UN Convention on the Rights of the Child (particularly Article 2 on non-discrimination, Article 16 on the right to privacy, and Article 23 on children with disabilities) all establish obligations that are directly relevant to how children</w:t>
      </w:r>
      <w:r w:rsidR="0A5B7122">
        <w:t>’</w:t>
      </w:r>
      <w:r>
        <w:t xml:space="preserve">s privacy protections are designed and delivered. </w:t>
      </w:r>
    </w:p>
    <w:p w14:paraId="25E971A5" w14:textId="77777777" w:rsidR="3CF2AABC" w:rsidRDefault="3CF2AABC" w:rsidP="3E70F0EA">
      <w:pPr>
        <w:spacing w:before="240" w:after="240" w:line="259" w:lineRule="auto"/>
      </w:pPr>
      <w:r w:rsidRPr="028270E8">
        <w:rPr>
          <w:b/>
          <w:bCs/>
          <w:u w:val="single"/>
        </w:rPr>
        <w:t>Specific amendments recommended</w:t>
      </w:r>
    </w:p>
    <w:p w14:paraId="15FC78BD" w14:textId="77777777" w:rsidR="3CF2AABC" w:rsidRDefault="3CF2AABC" w:rsidP="3E70F0EA">
      <w:pPr>
        <w:spacing w:before="240" w:after="240" w:line="259" w:lineRule="auto"/>
      </w:pPr>
      <w:r>
        <w:t>We recommend the following amendments to the Code:</w:t>
      </w:r>
    </w:p>
    <w:p w14:paraId="0D07DABB" w14:textId="4FB00B4E" w:rsidR="3CF2AABC" w:rsidRDefault="3CF2AABC" w:rsidP="3AE29038">
      <w:pPr>
        <w:pStyle w:val="ListParagraph"/>
        <w:widowControl/>
        <w:numPr>
          <w:ilvl w:val="0"/>
          <w:numId w:val="6"/>
        </w:numPr>
        <w:spacing w:before="240" w:after="240" w:line="259" w:lineRule="auto"/>
      </w:pPr>
      <w:r>
        <w:t xml:space="preserve">insert a definition of </w:t>
      </w:r>
      <w:r w:rsidR="005E76ED">
        <w:t>“</w:t>
      </w:r>
      <w:r>
        <w:t>accessible</w:t>
      </w:r>
      <w:r w:rsidR="005E76ED">
        <w:t>”</w:t>
      </w:r>
      <w:r>
        <w:t xml:space="preserve"> in section 4 that references WCAG 2.2 at minimum AA conformance, and require that all information provided under the Code meet both the </w:t>
      </w:r>
      <w:r w:rsidR="005E76ED">
        <w:t>“</w:t>
      </w:r>
      <w:r>
        <w:t>age appropriate</w:t>
      </w:r>
      <w:r w:rsidR="005E76ED">
        <w:t>”</w:t>
      </w:r>
      <w:r>
        <w:t xml:space="preserve"> and </w:t>
      </w:r>
      <w:r w:rsidR="005E76ED">
        <w:t>“</w:t>
      </w:r>
      <w:r>
        <w:t>accessible</w:t>
      </w:r>
      <w:r w:rsidR="005E76ED">
        <w:t>”</w:t>
      </w:r>
      <w:r>
        <w:t xml:space="preserve"> standards</w:t>
      </w:r>
    </w:p>
    <w:p w14:paraId="20358AE4" w14:textId="5959D719" w:rsidR="3CF2AABC" w:rsidRDefault="3CF2AABC" w:rsidP="3AE29038">
      <w:pPr>
        <w:pStyle w:val="ListParagraph"/>
        <w:widowControl/>
        <w:numPr>
          <w:ilvl w:val="0"/>
          <w:numId w:val="6"/>
        </w:numPr>
        <w:spacing w:before="240" w:after="240" w:line="259" w:lineRule="auto"/>
      </w:pPr>
      <w:r>
        <w:t>amend sections 23(3)(c), 24(2)(d), and 26(2)(d) to require that any non-text material provided under the Code be accompanied by text alternatives, captions, audio description, or transcripts as appropriate, consistent with WCAG 2.2</w:t>
      </w:r>
    </w:p>
    <w:p w14:paraId="75966638" w14:textId="51304211" w:rsidR="3CF2AABC" w:rsidRDefault="3CF2AABC" w:rsidP="3AE29038">
      <w:pPr>
        <w:pStyle w:val="ListParagraph"/>
        <w:widowControl/>
        <w:numPr>
          <w:ilvl w:val="0"/>
          <w:numId w:val="6"/>
        </w:numPr>
        <w:spacing w:before="240" w:after="240" w:line="259" w:lineRule="auto"/>
      </w:pPr>
      <w:r>
        <w:t xml:space="preserve">replace or supplement references to </w:t>
      </w:r>
      <w:r w:rsidR="005E76ED">
        <w:t>“</w:t>
      </w:r>
      <w:r>
        <w:t>font size and type that is easy to read</w:t>
      </w:r>
      <w:r w:rsidR="005E76ED">
        <w:t>”</w:t>
      </w:r>
      <w:r>
        <w:t xml:space="preserve"> with a broader formulation requiring that information be presented in a manner that is perceivable and operable for children using assistive technologies</w:t>
      </w:r>
    </w:p>
    <w:p w14:paraId="52F8B939" w14:textId="4C036B49" w:rsidR="3CF2AABC" w:rsidRDefault="3CF2AABC" w:rsidP="3AE29038">
      <w:pPr>
        <w:pStyle w:val="ListParagraph"/>
        <w:widowControl/>
        <w:numPr>
          <w:ilvl w:val="0"/>
          <w:numId w:val="6"/>
        </w:numPr>
        <w:spacing w:before="240" w:after="240" w:line="259" w:lineRule="auto"/>
      </w:pPr>
      <w:r>
        <w:t>add requirements that consent and withdrawal mechanisms, age verification processes, and inquiry and complaint mechanisms be designed to be accessible to children with disabilities, including those using assistive technologies</w:t>
      </w:r>
    </w:p>
    <w:p w14:paraId="75404F55" w14:textId="3A379FC5" w:rsidR="3CF2AABC" w:rsidRDefault="3CF2AABC" w:rsidP="3AE29038">
      <w:pPr>
        <w:pStyle w:val="ListParagraph"/>
        <w:widowControl/>
        <w:numPr>
          <w:ilvl w:val="0"/>
          <w:numId w:val="6"/>
        </w:numPr>
        <w:spacing w:before="240" w:after="240" w:line="259" w:lineRule="auto"/>
      </w:pPr>
      <w:r>
        <w:t>amend section 38(2) to require that privacy impact assessments specifically assess the accessibility of privacy practices for children with disabilities</w:t>
      </w:r>
    </w:p>
    <w:p w14:paraId="7C71E22F" w14:textId="02F910A7" w:rsidR="3CF2AABC" w:rsidRDefault="3CF2AABC" w:rsidP="3AE29038">
      <w:pPr>
        <w:pStyle w:val="ListParagraph"/>
        <w:widowControl/>
        <w:numPr>
          <w:ilvl w:val="0"/>
          <w:numId w:val="6"/>
        </w:numPr>
        <w:spacing w:before="240" w:after="240" w:line="259" w:lineRule="auto"/>
      </w:pPr>
      <w:r>
        <w:t>amend section 40(2) to require that privacy education and training address the accessibility needs of children with disabilities and familiarity with assistive technologies</w:t>
      </w:r>
    </w:p>
    <w:p w14:paraId="5CD0713C" w14:textId="461388B9" w:rsidR="3CF2AABC" w:rsidRDefault="3CF2AABC" w:rsidP="3AE29038">
      <w:pPr>
        <w:pStyle w:val="ListParagraph"/>
        <w:widowControl/>
        <w:numPr>
          <w:ilvl w:val="0"/>
          <w:numId w:val="6"/>
        </w:numPr>
        <w:spacing w:before="240" w:after="240" w:line="259" w:lineRule="auto"/>
      </w:pPr>
      <w:r>
        <w:t xml:space="preserve">include a purpose clause or interpretive provision that explicitly acknowledges the rights of children with disabilities under the UN Convention on the Rights of Persons with Disabilities, the </w:t>
      </w:r>
      <w:r w:rsidRPr="028270E8">
        <w:rPr>
          <w:i/>
          <w:iCs/>
        </w:rPr>
        <w:t>DDA 1992</w:t>
      </w:r>
      <w:r>
        <w:t>, and the UN Convention on the Rights of the Child.</w:t>
      </w:r>
    </w:p>
    <w:p w14:paraId="7DE3CF61" w14:textId="0394F8A9" w:rsidR="028270E8" w:rsidRPr="00D7471A" w:rsidRDefault="3CF2AABC" w:rsidP="00452953">
      <w:pPr>
        <w:spacing w:before="240" w:after="240" w:line="259" w:lineRule="auto"/>
        <w:rPr>
          <w:b/>
          <w:bCs/>
        </w:rPr>
      </w:pPr>
      <w:r w:rsidRPr="00D7471A">
        <w:rPr>
          <w:b/>
          <w:bCs/>
        </w:rPr>
        <w:t>Without explicit accessibility requirements, the Code risks building a children</w:t>
      </w:r>
      <w:r w:rsidR="005E76ED" w:rsidRPr="00D7471A">
        <w:rPr>
          <w:b/>
          <w:bCs/>
        </w:rPr>
        <w:t>’</w:t>
      </w:r>
      <w:r w:rsidRPr="00D7471A">
        <w:rPr>
          <w:b/>
          <w:bCs/>
        </w:rPr>
        <w:t xml:space="preserve">s privacy framework that systematically excludes the very children who are most reliant on digital services and most vulnerable to privacy harms online. </w:t>
      </w:r>
      <w:r w:rsidRPr="00D7471A">
        <w:t>Accessibility is not an afterthought or an enhancement – it is a precondition for the Code</w:t>
      </w:r>
      <w:r w:rsidR="005E76ED" w:rsidRPr="00D7471A">
        <w:t>’</w:t>
      </w:r>
      <w:r w:rsidRPr="00D7471A">
        <w:t>s protections to be meaningful for all children.</w:t>
      </w:r>
    </w:p>
    <w:p w14:paraId="0E844698" w14:textId="77777777" w:rsidR="005B76F3" w:rsidRDefault="005B76F3" w:rsidP="00D61718">
      <w:pPr>
        <w:pStyle w:val="Heading1"/>
      </w:pPr>
      <w:bookmarkStart w:id="26" w:name="_Toc230295214"/>
      <w:bookmarkStart w:id="27" w:name="_Toc230896250"/>
    </w:p>
    <w:p w14:paraId="73ABBA36" w14:textId="29ADE058" w:rsidR="00D1105B" w:rsidRDefault="00D1105B" w:rsidP="00D61718">
      <w:pPr>
        <w:pStyle w:val="Heading1"/>
      </w:pPr>
      <w:r>
        <w:lastRenderedPageBreak/>
        <w:t>Consent</w:t>
      </w:r>
      <w:r w:rsidR="00BD79AC">
        <w:t xml:space="preserve"> practices in everyday life</w:t>
      </w:r>
      <w:bookmarkEnd w:id="26"/>
      <w:bookmarkEnd w:id="27"/>
    </w:p>
    <w:p w14:paraId="08A09926" w14:textId="1BCF6B77" w:rsidR="009209A1" w:rsidRPr="00F90DF1" w:rsidRDefault="009209A1" w:rsidP="009209A1">
      <w:pPr>
        <w:spacing w:before="240" w:after="240" w:line="259" w:lineRule="auto"/>
        <w:rPr>
          <w:b/>
          <w:bCs/>
          <w:color w:val="000000"/>
        </w:rPr>
      </w:pPr>
      <w:r w:rsidRPr="3AE29038">
        <w:rPr>
          <w:b/>
          <w:bCs/>
        </w:rPr>
        <w:t xml:space="preserve">Recommendation: </w:t>
      </w:r>
      <w:r w:rsidR="002F5EDE" w:rsidRPr="68ED6CBA">
        <w:rPr>
          <w:b/>
        </w:rPr>
        <w:t xml:space="preserve">Adopt </w:t>
      </w:r>
      <w:r w:rsidR="002F5EDE" w:rsidRPr="68ED6CBA">
        <w:rPr>
          <w:b/>
          <w:color w:val="000000" w:themeColor="text1"/>
        </w:rPr>
        <w:t>a tripartite strategy to support the operation of consent that includes public education and awareness, scenario-based impact assessments, and independent research and evaluation.</w:t>
      </w:r>
    </w:p>
    <w:p w14:paraId="5CEBE07C" w14:textId="77777777" w:rsidR="007B2A8D" w:rsidRDefault="00F656A7" w:rsidP="00F656A7">
      <w:pPr>
        <w:spacing w:before="240" w:after="240" w:line="259" w:lineRule="auto"/>
        <w:rPr>
          <w:color w:val="000000"/>
        </w:rPr>
      </w:pPr>
      <w:r w:rsidRPr="00A76D93">
        <w:rPr>
          <w:color w:val="000000"/>
        </w:rPr>
        <w:t xml:space="preserve">Given the complexity of how consent systems and processes operate in practice, and the lack of clarity around how consent requirements are translated from the Code into implementation, we recommend a tripartite strategy to support effective and accountable operation. </w:t>
      </w:r>
    </w:p>
    <w:p w14:paraId="2FB2D6EE" w14:textId="1CF1DE90" w:rsidR="007B2A8D" w:rsidRDefault="00F656A7" w:rsidP="00F656A7">
      <w:pPr>
        <w:spacing w:before="240" w:after="240" w:line="259" w:lineRule="auto"/>
        <w:rPr>
          <w:color w:val="000000"/>
        </w:rPr>
      </w:pPr>
      <w:r w:rsidRPr="00A76D93">
        <w:rPr>
          <w:color w:val="000000"/>
        </w:rPr>
        <w:t xml:space="preserve">This </w:t>
      </w:r>
      <w:r w:rsidR="00CA45A4">
        <w:rPr>
          <w:color w:val="000000"/>
        </w:rPr>
        <w:t xml:space="preserve">strategy </w:t>
      </w:r>
      <w:r w:rsidRPr="00A76D93">
        <w:rPr>
          <w:color w:val="000000"/>
        </w:rPr>
        <w:t xml:space="preserve">should include: </w:t>
      </w:r>
    </w:p>
    <w:p w14:paraId="38D705D7" w14:textId="11121656" w:rsidR="007B2A8D" w:rsidRDefault="663AB956" w:rsidP="00F656A7">
      <w:pPr>
        <w:spacing w:before="240" w:after="240" w:line="259" w:lineRule="auto"/>
        <w:rPr>
          <w:color w:val="000000"/>
        </w:rPr>
      </w:pPr>
      <w:r w:rsidRPr="3986B91B">
        <w:rPr>
          <w:color w:val="000000" w:themeColor="text1"/>
        </w:rPr>
        <w:t xml:space="preserve">(1) </w:t>
      </w:r>
      <w:r w:rsidR="1301703C" w:rsidRPr="3986B91B">
        <w:rPr>
          <w:color w:val="000000" w:themeColor="text1"/>
        </w:rPr>
        <w:t>P</w:t>
      </w:r>
      <w:r w:rsidRPr="3986B91B">
        <w:rPr>
          <w:color w:val="000000" w:themeColor="text1"/>
        </w:rPr>
        <w:t>ublic education and awareness measures prior to commencement of the Code</w:t>
      </w:r>
      <w:r w:rsidR="3E096318" w:rsidRPr="3986B91B">
        <w:rPr>
          <w:color w:val="000000" w:themeColor="text1"/>
        </w:rPr>
        <w:t>.</w:t>
      </w:r>
    </w:p>
    <w:p w14:paraId="08ECFAD7" w14:textId="41B5B4AB" w:rsidR="3E096318" w:rsidRPr="00EF2046" w:rsidRDefault="7D2632B1" w:rsidP="007742C8">
      <w:pPr>
        <w:spacing w:line="259" w:lineRule="auto"/>
      </w:pPr>
      <w:r w:rsidRPr="508D9A65">
        <w:rPr>
          <w:color w:val="000000" w:themeColor="text1"/>
        </w:rPr>
        <w:t>The range of everyday user knowledge of consent varies drastically based on experience, exposure to digital space</w:t>
      </w:r>
      <w:r w:rsidR="58388870" w:rsidRPr="508D9A65">
        <w:rPr>
          <w:color w:val="000000" w:themeColor="text1"/>
        </w:rPr>
        <w:t xml:space="preserve">s, </w:t>
      </w:r>
      <w:r w:rsidR="6E1F7087" w:rsidRPr="508D9A65">
        <w:rPr>
          <w:color w:val="000000" w:themeColor="text1"/>
        </w:rPr>
        <w:t>backgrounds,</w:t>
      </w:r>
      <w:r w:rsidR="58388870" w:rsidRPr="508D9A65">
        <w:rPr>
          <w:color w:val="000000" w:themeColor="text1"/>
        </w:rPr>
        <w:t xml:space="preserve"> and education </w:t>
      </w:r>
      <w:r w:rsidR="26AF1750" w:rsidRPr="508D9A65">
        <w:rPr>
          <w:color w:val="000000" w:themeColor="text1"/>
        </w:rPr>
        <w:t>levels</w:t>
      </w:r>
      <w:r w:rsidR="58388870" w:rsidRPr="508D9A65">
        <w:rPr>
          <w:color w:val="000000" w:themeColor="text1"/>
        </w:rPr>
        <w:t xml:space="preserve">. The reality is </w:t>
      </w:r>
      <w:r w:rsidR="7DDDB400" w:rsidRPr="508D9A65">
        <w:rPr>
          <w:color w:val="000000" w:themeColor="text1"/>
        </w:rPr>
        <w:t xml:space="preserve">that </w:t>
      </w:r>
      <w:r w:rsidR="58388870" w:rsidRPr="508D9A65">
        <w:rPr>
          <w:color w:val="000000" w:themeColor="text1"/>
        </w:rPr>
        <w:t>user</w:t>
      </w:r>
      <w:r w:rsidR="12776A49" w:rsidRPr="508D9A65">
        <w:rPr>
          <w:color w:val="000000" w:themeColor="text1"/>
        </w:rPr>
        <w:t>s</w:t>
      </w:r>
      <w:r w:rsidR="58388870" w:rsidRPr="508D9A65">
        <w:rPr>
          <w:color w:val="000000" w:themeColor="text1"/>
        </w:rPr>
        <w:t xml:space="preserve"> are consenting to things they do not fully understand </w:t>
      </w:r>
      <w:r w:rsidR="0F32BD7D" w:rsidRPr="508D9A65">
        <w:rPr>
          <w:color w:val="000000" w:themeColor="text1"/>
        </w:rPr>
        <w:t>because of l</w:t>
      </w:r>
      <w:r w:rsidR="07D5B110" w:rsidRPr="508D9A65">
        <w:rPr>
          <w:color w:val="000000" w:themeColor="text1"/>
        </w:rPr>
        <w:t>ong</w:t>
      </w:r>
      <w:r w:rsidR="0F32BD7D" w:rsidRPr="508D9A65">
        <w:rPr>
          <w:color w:val="000000" w:themeColor="text1"/>
        </w:rPr>
        <w:t xml:space="preserve"> wordy documents, purposefully </w:t>
      </w:r>
      <w:r w:rsidR="742091D2" w:rsidRPr="508D9A65">
        <w:rPr>
          <w:color w:val="000000" w:themeColor="text1"/>
        </w:rPr>
        <w:t xml:space="preserve">confusing processes and </w:t>
      </w:r>
      <w:r w:rsidR="7372A1D1" w:rsidRPr="508D9A65">
        <w:rPr>
          <w:color w:val="000000" w:themeColor="text1"/>
        </w:rPr>
        <w:t>priority</w:t>
      </w:r>
      <w:r w:rsidR="742091D2" w:rsidRPr="508D9A65">
        <w:rPr>
          <w:color w:val="000000" w:themeColor="text1"/>
        </w:rPr>
        <w:t xml:space="preserve"> given to frictionless </w:t>
      </w:r>
      <w:r w:rsidR="49E3B5C5" w:rsidRPr="508D9A65">
        <w:rPr>
          <w:color w:val="000000" w:themeColor="text1"/>
        </w:rPr>
        <w:t xml:space="preserve">sign-up </w:t>
      </w:r>
      <w:r w:rsidR="742091D2" w:rsidRPr="508D9A65">
        <w:rPr>
          <w:color w:val="000000" w:themeColor="text1"/>
        </w:rPr>
        <w:t xml:space="preserve">design principles (see further description below). </w:t>
      </w:r>
      <w:r w:rsidR="239EFBC1">
        <w:t xml:space="preserve">For example, privacy policies often exceed thousands of words and are written in legalistic language that even highly educated users struggle to interpret. Similarly, consent interfaces frequently bundle multiple permissions together (e.g., agreeing to data sharing as a condition of accessing a service). </w:t>
      </w:r>
      <w:r w:rsidR="742091D2" w:rsidRPr="508D9A65">
        <w:rPr>
          <w:color w:val="000000" w:themeColor="text1"/>
        </w:rPr>
        <w:t xml:space="preserve">As such, </w:t>
      </w:r>
      <w:r w:rsidR="742091D2" w:rsidRPr="0093642C">
        <w:rPr>
          <w:b/>
          <w:bCs/>
          <w:color w:val="000000" w:themeColor="text1"/>
        </w:rPr>
        <w:t xml:space="preserve">we </w:t>
      </w:r>
      <w:r w:rsidR="76849586" w:rsidRPr="0093642C">
        <w:rPr>
          <w:b/>
          <w:bCs/>
          <w:color w:val="000000" w:themeColor="text1"/>
        </w:rPr>
        <w:t xml:space="preserve">recommend </w:t>
      </w:r>
      <w:r w:rsidR="56A8B1CF" w:rsidRPr="0093642C">
        <w:rPr>
          <w:b/>
          <w:bCs/>
          <w:color w:val="000000" w:themeColor="text1"/>
        </w:rPr>
        <w:t>the</w:t>
      </w:r>
      <w:r w:rsidR="742091D2" w:rsidRPr="0093642C">
        <w:rPr>
          <w:b/>
          <w:bCs/>
          <w:color w:val="000000" w:themeColor="text1"/>
        </w:rPr>
        <w:t xml:space="preserve"> design and depl</w:t>
      </w:r>
      <w:r w:rsidR="5E238E9E" w:rsidRPr="0093642C">
        <w:rPr>
          <w:b/>
          <w:bCs/>
          <w:color w:val="000000" w:themeColor="text1"/>
        </w:rPr>
        <w:t>o</w:t>
      </w:r>
      <w:r w:rsidR="742091D2" w:rsidRPr="0093642C">
        <w:rPr>
          <w:b/>
          <w:bCs/>
          <w:color w:val="000000" w:themeColor="text1"/>
        </w:rPr>
        <w:t>y</w:t>
      </w:r>
      <w:r w:rsidR="10955114" w:rsidRPr="0093642C">
        <w:rPr>
          <w:b/>
          <w:bCs/>
          <w:color w:val="000000" w:themeColor="text1"/>
        </w:rPr>
        <w:t>ment of</w:t>
      </w:r>
      <w:r w:rsidR="742091D2" w:rsidRPr="0093642C">
        <w:rPr>
          <w:b/>
          <w:bCs/>
          <w:color w:val="000000" w:themeColor="text1"/>
        </w:rPr>
        <w:t xml:space="preserve"> e</w:t>
      </w:r>
      <w:r w:rsidR="4753DB1A" w:rsidRPr="0093642C">
        <w:rPr>
          <w:b/>
          <w:bCs/>
          <w:color w:val="000000" w:themeColor="text1"/>
        </w:rPr>
        <w:t>ducational materials</w:t>
      </w:r>
      <w:r w:rsidR="1D3ADE64" w:rsidRPr="0093642C">
        <w:rPr>
          <w:b/>
          <w:bCs/>
          <w:color w:val="000000" w:themeColor="text1"/>
        </w:rPr>
        <w:t>, written in plain language</w:t>
      </w:r>
      <w:r w:rsidR="0D4EAFDE" w:rsidRPr="0093642C">
        <w:rPr>
          <w:b/>
          <w:bCs/>
          <w:color w:val="000000" w:themeColor="text1"/>
        </w:rPr>
        <w:t xml:space="preserve"> and released in accessible formats</w:t>
      </w:r>
      <w:r w:rsidR="1D3ADE64" w:rsidRPr="0093642C">
        <w:rPr>
          <w:b/>
          <w:bCs/>
          <w:color w:val="000000" w:themeColor="text1"/>
        </w:rPr>
        <w:t>,</w:t>
      </w:r>
      <w:r w:rsidR="4753DB1A" w:rsidRPr="0093642C">
        <w:rPr>
          <w:b/>
          <w:bCs/>
          <w:color w:val="000000" w:themeColor="text1"/>
        </w:rPr>
        <w:t xml:space="preserve"> </w:t>
      </w:r>
      <w:r w:rsidR="009A3A2F" w:rsidRPr="003E6E38">
        <w:rPr>
          <w:b/>
          <w:bCs/>
          <w:color w:val="000000" w:themeColor="text1"/>
        </w:rPr>
        <w:t xml:space="preserve">to explain the core principles of consent as per the Code. </w:t>
      </w:r>
      <w:r w:rsidR="009A3A2F">
        <w:rPr>
          <w:color w:val="000000" w:themeColor="text1"/>
        </w:rPr>
        <w:t xml:space="preserve">Education materials should be </w:t>
      </w:r>
      <w:r w:rsidR="4753DB1A" w:rsidRPr="0093642C">
        <w:rPr>
          <w:color w:val="000000" w:themeColor="text1"/>
        </w:rPr>
        <w:t>aimed at a var</w:t>
      </w:r>
      <w:r w:rsidR="66CF62C2" w:rsidRPr="0093642C">
        <w:rPr>
          <w:color w:val="000000" w:themeColor="text1"/>
        </w:rPr>
        <w:t>i</w:t>
      </w:r>
      <w:r w:rsidR="4753DB1A" w:rsidRPr="0093642C">
        <w:rPr>
          <w:color w:val="000000" w:themeColor="text1"/>
        </w:rPr>
        <w:t>ety of</w:t>
      </w:r>
      <w:r w:rsidR="4753DB1A" w:rsidRPr="0093642C">
        <w:rPr>
          <w:b/>
          <w:bCs/>
          <w:color w:val="000000" w:themeColor="text1"/>
        </w:rPr>
        <w:t xml:space="preserve"> </w:t>
      </w:r>
      <w:r w:rsidR="4753DB1A" w:rsidRPr="0093642C">
        <w:rPr>
          <w:color w:val="000000" w:themeColor="text1"/>
        </w:rPr>
        <w:t>audi</w:t>
      </w:r>
      <w:r w:rsidR="1F30B1F7" w:rsidRPr="0093642C">
        <w:rPr>
          <w:color w:val="000000" w:themeColor="text1"/>
        </w:rPr>
        <w:t>e</w:t>
      </w:r>
      <w:r w:rsidR="4753DB1A" w:rsidRPr="0093642C">
        <w:rPr>
          <w:color w:val="000000" w:themeColor="text1"/>
        </w:rPr>
        <w:t>n</w:t>
      </w:r>
      <w:r w:rsidR="6B1888CF" w:rsidRPr="0093642C">
        <w:rPr>
          <w:color w:val="000000" w:themeColor="text1"/>
        </w:rPr>
        <w:t>c</w:t>
      </w:r>
      <w:r w:rsidR="4753DB1A" w:rsidRPr="0093642C">
        <w:rPr>
          <w:color w:val="000000" w:themeColor="text1"/>
        </w:rPr>
        <w:t>es with varying skill levels</w:t>
      </w:r>
      <w:r w:rsidR="4F709AFF" w:rsidRPr="508D9A65">
        <w:rPr>
          <w:color w:val="000000" w:themeColor="text1"/>
        </w:rPr>
        <w:t>, including educational institutions</w:t>
      </w:r>
      <w:r w:rsidR="003A6BF1">
        <w:rPr>
          <w:color w:val="000000" w:themeColor="text1"/>
        </w:rPr>
        <w:t>, child protection services</w:t>
      </w:r>
      <w:r w:rsidR="00C41506">
        <w:rPr>
          <w:color w:val="000000" w:themeColor="text1"/>
        </w:rPr>
        <w:t xml:space="preserve"> and </w:t>
      </w:r>
      <w:r w:rsidR="000006CB">
        <w:rPr>
          <w:color w:val="000000" w:themeColor="text1"/>
        </w:rPr>
        <w:t>institutions</w:t>
      </w:r>
      <w:r w:rsidR="005512BF">
        <w:rPr>
          <w:color w:val="000000" w:themeColor="text1"/>
        </w:rPr>
        <w:t xml:space="preserve"> that supervise children </w:t>
      </w:r>
      <w:r w:rsidR="00A04C2B">
        <w:rPr>
          <w:color w:val="000000" w:themeColor="text1"/>
        </w:rPr>
        <w:t>in</w:t>
      </w:r>
      <w:r w:rsidR="005512BF">
        <w:rPr>
          <w:color w:val="000000" w:themeColor="text1"/>
        </w:rPr>
        <w:t xml:space="preserve"> custody</w:t>
      </w:r>
      <w:r w:rsidR="714265F2" w:rsidRPr="508D9A65">
        <w:rPr>
          <w:color w:val="000000" w:themeColor="text1"/>
        </w:rPr>
        <w:t>.</w:t>
      </w:r>
      <w:r w:rsidR="76DC1FDC">
        <w:t xml:space="preserve"> </w:t>
      </w:r>
      <w:r w:rsidR="00BF54DC">
        <w:t>Materials</w:t>
      </w:r>
      <w:r w:rsidR="76DC1FDC">
        <w:t xml:space="preserve"> could include </w:t>
      </w:r>
      <w:r w:rsidR="249AABC8">
        <w:t xml:space="preserve">but is not limited to </w:t>
      </w:r>
      <w:r w:rsidR="76DC1FDC">
        <w:t xml:space="preserve">standardised consent formats, independent auditing of consent interfaces, and restrictions on manipulative or deceptive design practices. </w:t>
      </w:r>
    </w:p>
    <w:p w14:paraId="2613FC8C" w14:textId="4EEBCCA3" w:rsidR="007B2A8D" w:rsidRDefault="663AB956" w:rsidP="00F656A7">
      <w:pPr>
        <w:spacing w:before="240" w:after="240" w:line="259" w:lineRule="auto"/>
        <w:rPr>
          <w:color w:val="000000"/>
        </w:rPr>
      </w:pPr>
      <w:r w:rsidRPr="3986B91B">
        <w:rPr>
          <w:color w:val="000000" w:themeColor="text1"/>
        </w:rPr>
        <w:t xml:space="preserve">(2) </w:t>
      </w:r>
      <w:r w:rsidR="786DD085" w:rsidRPr="3986B91B">
        <w:rPr>
          <w:color w:val="000000" w:themeColor="text1"/>
        </w:rPr>
        <w:t>S</w:t>
      </w:r>
      <w:r w:rsidRPr="3986B91B">
        <w:rPr>
          <w:color w:val="000000" w:themeColor="text1"/>
        </w:rPr>
        <w:t>cenario-based impact assessments to test how consent models function across different contexts and user groups</w:t>
      </w:r>
      <w:r w:rsidR="2BA07CD0" w:rsidRPr="3986B91B">
        <w:rPr>
          <w:color w:val="000000" w:themeColor="text1"/>
        </w:rPr>
        <w:t>.</w:t>
      </w:r>
    </w:p>
    <w:p w14:paraId="26B17E44" w14:textId="5C4149AC" w:rsidR="2BA07CD0" w:rsidRDefault="2847529C" w:rsidP="00B358F3">
      <w:pPr>
        <w:spacing w:line="259" w:lineRule="auto"/>
      </w:pPr>
      <w:r w:rsidRPr="508D9A65">
        <w:rPr>
          <w:color w:val="000000" w:themeColor="text1"/>
        </w:rPr>
        <w:t>In addition</w:t>
      </w:r>
      <w:r w:rsidR="7ECBFADC" w:rsidRPr="508D9A65">
        <w:rPr>
          <w:color w:val="000000" w:themeColor="text1"/>
        </w:rPr>
        <w:t xml:space="preserve"> to the educati</w:t>
      </w:r>
      <w:r w:rsidRPr="508D9A65">
        <w:rPr>
          <w:color w:val="000000" w:themeColor="text1"/>
        </w:rPr>
        <w:t>onal</w:t>
      </w:r>
      <w:r w:rsidR="7ECBFADC" w:rsidRPr="508D9A65">
        <w:rPr>
          <w:color w:val="000000" w:themeColor="text1"/>
        </w:rPr>
        <w:t xml:space="preserve"> materials for users,</w:t>
      </w:r>
      <w:r w:rsidR="479E3E06" w:rsidRPr="508D9A65">
        <w:rPr>
          <w:color w:val="000000" w:themeColor="text1"/>
        </w:rPr>
        <w:t xml:space="preserve"> </w:t>
      </w:r>
      <w:r w:rsidR="7E28592F" w:rsidRPr="002C056E">
        <w:rPr>
          <w:b/>
          <w:bCs/>
          <w:color w:val="000000" w:themeColor="text1"/>
        </w:rPr>
        <w:t xml:space="preserve">we </w:t>
      </w:r>
      <w:r w:rsidR="689C6475" w:rsidRPr="002C056E">
        <w:rPr>
          <w:b/>
          <w:bCs/>
          <w:color w:val="000000" w:themeColor="text1"/>
        </w:rPr>
        <w:t>recommend</w:t>
      </w:r>
      <w:r w:rsidR="7E28592F" w:rsidRPr="002C056E">
        <w:rPr>
          <w:b/>
          <w:bCs/>
          <w:color w:val="000000" w:themeColor="text1"/>
        </w:rPr>
        <w:t xml:space="preserve"> </w:t>
      </w:r>
      <w:r w:rsidR="479E3E06" w:rsidRPr="002C056E">
        <w:rPr>
          <w:b/>
          <w:bCs/>
          <w:color w:val="000000" w:themeColor="text1"/>
        </w:rPr>
        <w:t>conduct</w:t>
      </w:r>
      <w:r w:rsidR="7E28592F" w:rsidRPr="002C056E">
        <w:rPr>
          <w:b/>
          <w:bCs/>
          <w:color w:val="000000" w:themeColor="text1"/>
        </w:rPr>
        <w:t>ing</w:t>
      </w:r>
      <w:r w:rsidR="479E3E06" w:rsidRPr="002C056E">
        <w:rPr>
          <w:b/>
          <w:bCs/>
          <w:color w:val="000000" w:themeColor="text1"/>
        </w:rPr>
        <w:t xml:space="preserve"> assessment of</w:t>
      </w:r>
      <w:r w:rsidRPr="002C056E">
        <w:rPr>
          <w:b/>
          <w:bCs/>
          <w:color w:val="000000" w:themeColor="text1"/>
        </w:rPr>
        <w:t xml:space="preserve"> a </w:t>
      </w:r>
      <w:r w:rsidR="7ECBFADC" w:rsidRPr="002C056E">
        <w:rPr>
          <w:b/>
          <w:bCs/>
          <w:color w:val="000000" w:themeColor="text1"/>
        </w:rPr>
        <w:t xml:space="preserve">range of scenarios that </w:t>
      </w:r>
      <w:r w:rsidR="53D4B38F" w:rsidRPr="002C056E">
        <w:rPr>
          <w:b/>
          <w:bCs/>
          <w:color w:val="000000" w:themeColor="text1"/>
        </w:rPr>
        <w:t xml:space="preserve">children and </w:t>
      </w:r>
      <w:r w:rsidR="7ECBFADC" w:rsidRPr="002C056E">
        <w:rPr>
          <w:b/>
          <w:bCs/>
          <w:color w:val="000000" w:themeColor="text1"/>
        </w:rPr>
        <w:t xml:space="preserve">young people are presented with </w:t>
      </w:r>
      <w:r w:rsidR="5E3823BA" w:rsidRPr="002C056E">
        <w:rPr>
          <w:b/>
          <w:bCs/>
          <w:color w:val="000000" w:themeColor="text1"/>
        </w:rPr>
        <w:t>that require consent</w:t>
      </w:r>
      <w:r w:rsidR="6652FFA9" w:rsidRPr="002C056E">
        <w:rPr>
          <w:b/>
          <w:bCs/>
          <w:color w:val="000000" w:themeColor="text1"/>
        </w:rPr>
        <w:t>.</w:t>
      </w:r>
      <w:r w:rsidR="5E3823BA" w:rsidRPr="508D9A65">
        <w:rPr>
          <w:color w:val="000000" w:themeColor="text1"/>
        </w:rPr>
        <w:t xml:space="preserve"> Signing up to a digital platform as part of an educational experience is </w:t>
      </w:r>
      <w:r w:rsidR="70576B0E" w:rsidRPr="508D9A65">
        <w:rPr>
          <w:color w:val="000000" w:themeColor="text1"/>
        </w:rPr>
        <w:t>significantly</w:t>
      </w:r>
      <w:r w:rsidR="5E3823BA" w:rsidRPr="508D9A65">
        <w:rPr>
          <w:color w:val="000000" w:themeColor="text1"/>
        </w:rPr>
        <w:t xml:space="preserve"> different to </w:t>
      </w:r>
      <w:r w:rsidR="23DFD7A5" w:rsidRPr="508D9A65">
        <w:rPr>
          <w:color w:val="000000" w:themeColor="text1"/>
        </w:rPr>
        <w:t>accepting the conditions of</w:t>
      </w:r>
      <w:r w:rsidR="5E3823BA" w:rsidRPr="508D9A65">
        <w:rPr>
          <w:color w:val="000000" w:themeColor="text1"/>
        </w:rPr>
        <w:t xml:space="preserve"> an AI assi</w:t>
      </w:r>
      <w:r w:rsidR="2F45B906" w:rsidRPr="508D9A65">
        <w:rPr>
          <w:color w:val="000000" w:themeColor="text1"/>
        </w:rPr>
        <w:t>s</w:t>
      </w:r>
      <w:r w:rsidR="5E3823BA" w:rsidRPr="508D9A65">
        <w:rPr>
          <w:color w:val="000000" w:themeColor="text1"/>
        </w:rPr>
        <w:t xml:space="preserve">tant, which is </w:t>
      </w:r>
      <w:r w:rsidR="561C8295" w:rsidRPr="508D9A65">
        <w:rPr>
          <w:color w:val="000000" w:themeColor="text1"/>
        </w:rPr>
        <w:t>again</w:t>
      </w:r>
      <w:r w:rsidR="5E3823BA" w:rsidRPr="508D9A65">
        <w:rPr>
          <w:color w:val="000000" w:themeColor="text1"/>
        </w:rPr>
        <w:t xml:space="preserve"> differe</w:t>
      </w:r>
      <w:r w:rsidR="69727CE7" w:rsidRPr="508D9A65">
        <w:rPr>
          <w:color w:val="000000" w:themeColor="text1"/>
        </w:rPr>
        <w:t>n</w:t>
      </w:r>
      <w:r w:rsidR="5E3823BA" w:rsidRPr="508D9A65">
        <w:rPr>
          <w:color w:val="000000" w:themeColor="text1"/>
        </w:rPr>
        <w:t xml:space="preserve">t to signing up to a </w:t>
      </w:r>
      <w:r w:rsidR="26906083" w:rsidRPr="508D9A65">
        <w:rPr>
          <w:color w:val="000000" w:themeColor="text1"/>
        </w:rPr>
        <w:t>commercial</w:t>
      </w:r>
      <w:r w:rsidR="274D752F" w:rsidRPr="508D9A65">
        <w:rPr>
          <w:color w:val="000000" w:themeColor="text1"/>
        </w:rPr>
        <w:t xml:space="preserve"> </w:t>
      </w:r>
      <w:r w:rsidR="5E3823BA" w:rsidRPr="508D9A65">
        <w:rPr>
          <w:color w:val="000000" w:themeColor="text1"/>
        </w:rPr>
        <w:t xml:space="preserve">gaming platform. </w:t>
      </w:r>
      <w:r w:rsidR="7FC4CFC1">
        <w:t xml:space="preserve">For example, students may feel compelled to consent to </w:t>
      </w:r>
      <w:r w:rsidR="7FC4CFC1" w:rsidRPr="00503ACB">
        <w:t xml:space="preserve">participate in core learning activities, </w:t>
      </w:r>
      <w:r w:rsidR="00CF37AC" w:rsidRPr="00A54745">
        <w:rPr>
          <w:color w:val="000000"/>
        </w:rPr>
        <w:t>while some gaming platforms (those designed for mainstream blockbuster and mobile games, rather than independent games) and social media platforms</w:t>
      </w:r>
      <w:r w:rsidR="00503ACB" w:rsidRPr="00A54745">
        <w:rPr>
          <w:color w:val="000000"/>
        </w:rPr>
        <w:t>,</w:t>
      </w:r>
      <w:r w:rsidR="00CF37AC" w:rsidRPr="00503ACB">
        <w:t xml:space="preserve"> </w:t>
      </w:r>
      <w:r w:rsidR="7FC4CFC1" w:rsidRPr="00503ACB">
        <w:t>often rely on persuasive or time-pressured design features that encourage rapid acceptance without meaningful engagement</w:t>
      </w:r>
      <w:r w:rsidR="7DAF864B" w:rsidRPr="00503ACB">
        <w:t xml:space="preserve"> (</w:t>
      </w:r>
      <w:r w:rsidR="3BED13CC" w:rsidRPr="00503ACB">
        <w:t>and indeed, some gaming platforms require consent</w:t>
      </w:r>
      <w:r w:rsidR="3BED13CC">
        <w:t xml:space="preserve"> across many separate games)</w:t>
      </w:r>
      <w:r w:rsidR="138AECEB">
        <w:t>.</w:t>
      </w:r>
      <w:r w:rsidR="7FC4CFC1">
        <w:t xml:space="preserve"> </w:t>
      </w:r>
      <w:r w:rsidR="002D6A50">
        <w:t>Children in a variety of circumstances</w:t>
      </w:r>
      <w:r w:rsidR="00106BB1">
        <w:t xml:space="preserve">, such as those </w:t>
      </w:r>
      <w:r w:rsidR="002D6A50">
        <w:t xml:space="preserve">living independently or </w:t>
      </w:r>
      <w:r w:rsidR="00106BB1">
        <w:t>involved in</w:t>
      </w:r>
      <w:r w:rsidR="002D6A50">
        <w:t xml:space="preserve"> the</w:t>
      </w:r>
      <w:r w:rsidR="002D6A50" w:rsidRPr="00E96121">
        <w:t xml:space="preserve"> child protection or </w:t>
      </w:r>
      <w:r w:rsidR="00781761">
        <w:t xml:space="preserve">criminal </w:t>
      </w:r>
      <w:r w:rsidR="00106BB1">
        <w:t>justice system</w:t>
      </w:r>
      <w:r w:rsidR="00781761">
        <w:t>,</w:t>
      </w:r>
      <w:r w:rsidR="00106BB1">
        <w:t xml:space="preserve"> </w:t>
      </w:r>
      <w:r w:rsidR="00D90105">
        <w:t xml:space="preserve">face </w:t>
      </w:r>
      <w:r w:rsidR="00106BB1">
        <w:t xml:space="preserve">unique </w:t>
      </w:r>
      <w:r w:rsidR="00D90105">
        <w:t>barriers in</w:t>
      </w:r>
      <w:r w:rsidR="00106BB1">
        <w:t xml:space="preserve"> seeking and obtaining consent</w:t>
      </w:r>
      <w:r w:rsidR="002D6A50">
        <w:t xml:space="preserve">. </w:t>
      </w:r>
      <w:r w:rsidR="7FC4CFC1">
        <w:t xml:space="preserve">We encourage the government to undertake scenario-based impact assessments as a condition of compliance with the Code, to test how consent mechanisms operate in practice across diverse real-world contexts </w:t>
      </w:r>
      <w:r w:rsidR="46A1FEC0">
        <w:t>f</w:t>
      </w:r>
      <w:r w:rsidR="5ED8A975">
        <w:t>or</w:t>
      </w:r>
      <w:r w:rsidR="7FC4CFC1">
        <w:t xml:space="preserve"> children</w:t>
      </w:r>
      <w:r w:rsidR="3FA44A26">
        <w:t xml:space="preserve"> and young people</w:t>
      </w:r>
      <w:r w:rsidR="7FC4CFC1">
        <w:t xml:space="preserve">. </w:t>
      </w:r>
    </w:p>
    <w:p w14:paraId="4CCA9968" w14:textId="5CE832D0" w:rsidR="00F656A7" w:rsidRPr="00A76D93" w:rsidRDefault="663AB956" w:rsidP="00F656A7">
      <w:pPr>
        <w:spacing w:before="240" w:after="240" w:line="259" w:lineRule="auto"/>
        <w:rPr>
          <w:color w:val="000000"/>
        </w:rPr>
      </w:pPr>
      <w:r w:rsidRPr="412719D2">
        <w:rPr>
          <w:color w:val="000000" w:themeColor="text1"/>
        </w:rPr>
        <w:t xml:space="preserve">(3) </w:t>
      </w:r>
      <w:r w:rsidR="003763C9" w:rsidRPr="412719D2">
        <w:rPr>
          <w:color w:val="000000" w:themeColor="text1"/>
        </w:rPr>
        <w:t xml:space="preserve">Independent </w:t>
      </w:r>
      <w:r w:rsidRPr="412719D2">
        <w:rPr>
          <w:color w:val="000000" w:themeColor="text1"/>
        </w:rPr>
        <w:t>research and evaluation of the impacts and effectiveness of consent models and processes over time</w:t>
      </w:r>
      <w:r w:rsidR="7E1968C3" w:rsidRPr="412719D2">
        <w:rPr>
          <w:color w:val="000000" w:themeColor="text1"/>
        </w:rPr>
        <w:t xml:space="preserve"> (see also </w:t>
      </w:r>
      <w:r w:rsidR="00426932">
        <w:rPr>
          <w:color w:val="000000" w:themeColor="text1"/>
        </w:rPr>
        <w:t>Independent Privacy</w:t>
      </w:r>
      <w:r w:rsidR="00426932" w:rsidRPr="412719D2">
        <w:rPr>
          <w:color w:val="000000" w:themeColor="text1"/>
        </w:rPr>
        <w:t xml:space="preserve"> </w:t>
      </w:r>
      <w:r w:rsidR="244725B1" w:rsidRPr="412719D2">
        <w:rPr>
          <w:color w:val="000000" w:themeColor="text1"/>
        </w:rPr>
        <w:t>Impact Assessments</w:t>
      </w:r>
      <w:r w:rsidR="00426932">
        <w:rPr>
          <w:color w:val="000000" w:themeColor="text1"/>
        </w:rPr>
        <w:t xml:space="preserve"> </w:t>
      </w:r>
      <w:proofErr w:type="gramStart"/>
      <w:r w:rsidR="00426932">
        <w:rPr>
          <w:color w:val="000000" w:themeColor="text1"/>
        </w:rPr>
        <w:t xml:space="preserve">and  </w:t>
      </w:r>
      <w:r w:rsidR="00047DEC">
        <w:rPr>
          <w:color w:val="000000" w:themeColor="text1"/>
        </w:rPr>
        <w:t>A</w:t>
      </w:r>
      <w:proofErr w:type="gramEnd"/>
      <w:r w:rsidR="00A54745">
        <w:rPr>
          <w:color w:val="000000" w:themeColor="text1"/>
        </w:rPr>
        <w:t xml:space="preserve"> </w:t>
      </w:r>
      <w:r w:rsidR="004E4E08">
        <w:rPr>
          <w:color w:val="000000" w:themeColor="text1"/>
        </w:rPr>
        <w:t>national, multidisciplinary research ecosystem</w:t>
      </w:r>
      <w:r w:rsidR="244725B1" w:rsidRPr="412719D2">
        <w:rPr>
          <w:color w:val="000000" w:themeColor="text1"/>
        </w:rPr>
        <w:t>)</w:t>
      </w:r>
      <w:r w:rsidR="004E4E08">
        <w:rPr>
          <w:color w:val="000000" w:themeColor="text1"/>
        </w:rPr>
        <w:t>.</w:t>
      </w:r>
    </w:p>
    <w:p w14:paraId="0A22070E" w14:textId="63C44E53" w:rsidR="002102EC" w:rsidRPr="002102EC" w:rsidRDefault="237EDCED" w:rsidP="004F7382">
      <w:pPr>
        <w:spacing w:line="259" w:lineRule="auto"/>
      </w:pPr>
      <w:r w:rsidRPr="002C056E">
        <w:rPr>
          <w:b/>
          <w:bCs/>
        </w:rPr>
        <w:lastRenderedPageBreak/>
        <w:t xml:space="preserve">Independent research and longitudinal evaluation </w:t>
      </w:r>
      <w:r w:rsidR="2F7ADD7C" w:rsidRPr="002C056E">
        <w:rPr>
          <w:b/>
          <w:bCs/>
        </w:rPr>
        <w:t>need</w:t>
      </w:r>
      <w:r w:rsidRPr="002C056E">
        <w:rPr>
          <w:b/>
          <w:bCs/>
        </w:rPr>
        <w:t xml:space="preserve"> to be undertaken to assess the impacts and effectiveness of consent models and associated processes over time.</w:t>
      </w:r>
      <w:r w:rsidRPr="004F7382">
        <w:t xml:space="preserve"> Such evaluation should be mandated to ensure that consent mechanisms remain robust, meaningful, and responsive to evolving digital environments.</w:t>
      </w:r>
      <w:r w:rsidRPr="002102EC">
        <w:t xml:space="preserve"> </w:t>
      </w:r>
      <w:r w:rsidRPr="004F7382">
        <w:t xml:space="preserve">These assessments should incorporate rigorous empirical user testing, including validated measures of user comprehension, voluntariness and behavioural outcomes. Relevant indicators may include, but are not limited to, default acceptance rates, the extent to which </w:t>
      </w:r>
      <w:r w:rsidRPr="002102EC">
        <w:t>children</w:t>
      </w:r>
      <w:r w:rsidRPr="004F7382">
        <w:t xml:space="preserve"> engage with consent materials, and the accessibility and practical ease of exercising withdrawal or opt-out options.</w:t>
      </w:r>
      <w:r w:rsidRPr="002102EC">
        <w:t xml:space="preserve"> </w:t>
      </w:r>
    </w:p>
    <w:p w14:paraId="371C983D" w14:textId="385940F1" w:rsidR="009A2B77" w:rsidRDefault="0B2248E2" w:rsidP="68ED6CBA">
      <w:pPr>
        <w:pStyle w:val="Heading1"/>
      </w:pPr>
      <w:bookmarkStart w:id="28" w:name="_Toc230295215"/>
      <w:bookmarkStart w:id="29" w:name="_Toc230896251"/>
      <w:r w:rsidRPr="4D3E8549">
        <w:t>Privacy by Design</w:t>
      </w:r>
      <w:bookmarkEnd w:id="28"/>
      <w:bookmarkEnd w:id="29"/>
    </w:p>
    <w:p w14:paraId="7200E5D0" w14:textId="73CCD0B3" w:rsidR="001731FA" w:rsidRPr="00BA3680" w:rsidRDefault="78AA5163" w:rsidP="68ED6CBA">
      <w:pPr>
        <w:spacing w:before="240" w:after="160" w:line="276" w:lineRule="auto"/>
        <w:rPr>
          <w:rFonts w:eastAsiaTheme="minorEastAsia"/>
          <w:b/>
          <w:bCs/>
          <w:u w:val="single"/>
        </w:rPr>
      </w:pPr>
      <w:r w:rsidRPr="00BA3680">
        <w:rPr>
          <w:b/>
          <w:bCs/>
        </w:rPr>
        <w:t>Recommendation:</w:t>
      </w:r>
      <w:r w:rsidR="0C307DA3" w:rsidRPr="68ED6CBA">
        <w:rPr>
          <w:b/>
          <w:bCs/>
        </w:rPr>
        <w:t xml:space="preserve"> </w:t>
      </w:r>
      <w:r w:rsidR="749AC18D" w:rsidRPr="68ED6CBA">
        <w:rPr>
          <w:b/>
          <w:bCs/>
        </w:rPr>
        <w:t>Embed privacy by design as a core requirement</w:t>
      </w:r>
      <w:r w:rsidR="749AC18D" w:rsidRPr="68ED6CBA">
        <w:rPr>
          <w:rFonts w:eastAsiaTheme="minorEastAsia"/>
          <w:b/>
          <w:bCs/>
        </w:rPr>
        <w:t xml:space="preserve"> for the strong and effective implementation of the Code.</w:t>
      </w:r>
    </w:p>
    <w:p w14:paraId="7C11B190" w14:textId="342D1F73" w:rsidR="00460929" w:rsidRPr="005B6A2E" w:rsidRDefault="6A08F1F3" w:rsidP="000954F0">
      <w:pPr>
        <w:spacing w:after="160" w:line="259" w:lineRule="auto"/>
        <w:rPr>
          <w:color w:val="000000"/>
        </w:rPr>
      </w:pPr>
      <w:r w:rsidRPr="508D9A65">
        <w:rPr>
          <w:color w:val="000000" w:themeColor="text1"/>
        </w:rPr>
        <w:t xml:space="preserve">The Code includes some </w:t>
      </w:r>
      <w:r w:rsidR="0C3401E5" w:rsidRPr="508D9A65">
        <w:rPr>
          <w:color w:val="000000" w:themeColor="text1"/>
        </w:rPr>
        <w:t>indirect</w:t>
      </w:r>
      <w:r w:rsidR="19298F84" w:rsidRPr="508D9A65">
        <w:rPr>
          <w:color w:val="000000" w:themeColor="text1"/>
        </w:rPr>
        <w:t xml:space="preserve"> </w:t>
      </w:r>
      <w:r w:rsidRPr="508D9A65">
        <w:rPr>
          <w:color w:val="000000" w:themeColor="text1"/>
        </w:rPr>
        <w:t>recognition of design practices and interface features</w:t>
      </w:r>
      <w:r w:rsidR="1E809CBA" w:rsidRPr="508D9A65">
        <w:rPr>
          <w:color w:val="000000" w:themeColor="text1"/>
        </w:rPr>
        <w:t xml:space="preserve">: </w:t>
      </w:r>
      <w:r w:rsidRPr="508D9A65">
        <w:rPr>
          <w:color w:val="000000" w:themeColor="text1"/>
        </w:rPr>
        <w:t xml:space="preserve">in </w:t>
      </w:r>
      <w:r w:rsidR="43E5B122" w:rsidRPr="508D9A65">
        <w:rPr>
          <w:color w:val="000000" w:themeColor="text1"/>
        </w:rPr>
        <w:t>s</w:t>
      </w:r>
      <w:r w:rsidR="6995E7F3" w:rsidRPr="508D9A65">
        <w:rPr>
          <w:color w:val="000000" w:themeColor="text1"/>
        </w:rPr>
        <w:t>ection 14</w:t>
      </w:r>
      <w:r w:rsidR="6A528E74" w:rsidRPr="508D9A65">
        <w:rPr>
          <w:color w:val="000000" w:themeColor="text1"/>
        </w:rPr>
        <w:t xml:space="preserve">(3) </w:t>
      </w:r>
      <w:r w:rsidR="6995E7F3" w:rsidRPr="508D9A65">
        <w:rPr>
          <w:color w:val="000000" w:themeColor="text1"/>
        </w:rPr>
        <w:t xml:space="preserve">in the use of </w:t>
      </w:r>
      <w:r w:rsidR="70B73EE9" w:rsidRPr="508D9A65">
        <w:rPr>
          <w:color w:val="000000" w:themeColor="text1"/>
        </w:rPr>
        <w:t xml:space="preserve">manipulative, deceptive or </w:t>
      </w:r>
      <w:r w:rsidR="26F764E8" w:rsidRPr="508D9A65">
        <w:rPr>
          <w:color w:val="000000" w:themeColor="text1"/>
        </w:rPr>
        <w:t xml:space="preserve">misleading </w:t>
      </w:r>
      <w:r w:rsidR="34EE2B1A" w:rsidRPr="508D9A65">
        <w:rPr>
          <w:color w:val="000000" w:themeColor="text1"/>
        </w:rPr>
        <w:t>practices</w:t>
      </w:r>
      <w:r w:rsidR="6995E7F3" w:rsidRPr="508D9A65">
        <w:rPr>
          <w:color w:val="000000" w:themeColor="text1"/>
        </w:rPr>
        <w:t xml:space="preserve"> to obtain voluntary consent</w:t>
      </w:r>
      <w:r w:rsidR="48DAF489" w:rsidRPr="508D9A65">
        <w:rPr>
          <w:color w:val="000000" w:themeColor="text1"/>
        </w:rPr>
        <w:t>;</w:t>
      </w:r>
      <w:r w:rsidR="6995E7F3" w:rsidRPr="508D9A65">
        <w:rPr>
          <w:color w:val="000000" w:themeColor="text1"/>
        </w:rPr>
        <w:t xml:space="preserve"> </w:t>
      </w:r>
      <w:r w:rsidR="43E5B122" w:rsidRPr="508D9A65">
        <w:rPr>
          <w:color w:val="000000" w:themeColor="text1"/>
        </w:rPr>
        <w:t>s</w:t>
      </w:r>
      <w:r w:rsidRPr="508D9A65">
        <w:rPr>
          <w:color w:val="000000" w:themeColor="text1"/>
        </w:rPr>
        <w:t>ection 21</w:t>
      </w:r>
      <w:r w:rsidR="5B1567CE" w:rsidRPr="508D9A65">
        <w:rPr>
          <w:color w:val="000000" w:themeColor="text1"/>
        </w:rPr>
        <w:t xml:space="preserve">(1) </w:t>
      </w:r>
      <w:r w:rsidR="6995E7F3" w:rsidRPr="508D9A65">
        <w:rPr>
          <w:color w:val="000000" w:themeColor="text1"/>
        </w:rPr>
        <w:t xml:space="preserve">on </w:t>
      </w:r>
      <w:r w:rsidRPr="508D9A65">
        <w:rPr>
          <w:color w:val="000000" w:themeColor="text1"/>
        </w:rPr>
        <w:t>coercive consent practices</w:t>
      </w:r>
      <w:r w:rsidR="2391F0FA" w:rsidRPr="508D9A65">
        <w:rPr>
          <w:color w:val="000000" w:themeColor="text1"/>
        </w:rPr>
        <w:t>;</w:t>
      </w:r>
      <w:r w:rsidRPr="508D9A65">
        <w:rPr>
          <w:color w:val="000000" w:themeColor="text1"/>
        </w:rPr>
        <w:t xml:space="preserve"> and in </w:t>
      </w:r>
      <w:r w:rsidR="43E5B122" w:rsidRPr="508D9A65">
        <w:rPr>
          <w:color w:val="000000" w:themeColor="text1"/>
        </w:rPr>
        <w:t>s</w:t>
      </w:r>
      <w:r w:rsidRPr="508D9A65">
        <w:rPr>
          <w:color w:val="000000" w:themeColor="text1"/>
        </w:rPr>
        <w:t>ection 29</w:t>
      </w:r>
      <w:r w:rsidR="10AED8E8" w:rsidRPr="508D9A65">
        <w:rPr>
          <w:color w:val="000000" w:themeColor="text1"/>
        </w:rPr>
        <w:t xml:space="preserve">(3) </w:t>
      </w:r>
      <w:r w:rsidR="621F7AA7" w:rsidRPr="508D9A65">
        <w:rPr>
          <w:color w:val="000000" w:themeColor="text1"/>
        </w:rPr>
        <w:t xml:space="preserve">concerning </w:t>
      </w:r>
      <w:r w:rsidR="47D80030" w:rsidRPr="508D9A65">
        <w:rPr>
          <w:color w:val="000000" w:themeColor="text1"/>
        </w:rPr>
        <w:t>ways</w:t>
      </w:r>
      <w:r w:rsidRPr="508D9A65">
        <w:rPr>
          <w:color w:val="000000" w:themeColor="text1"/>
        </w:rPr>
        <w:t xml:space="preserve"> that children </w:t>
      </w:r>
      <w:r w:rsidR="47D80030" w:rsidRPr="508D9A65">
        <w:rPr>
          <w:color w:val="000000" w:themeColor="text1"/>
        </w:rPr>
        <w:t xml:space="preserve">are discouraged or impeded </w:t>
      </w:r>
      <w:r w:rsidRPr="508D9A65">
        <w:rPr>
          <w:color w:val="000000" w:themeColor="text1"/>
        </w:rPr>
        <w:t>from opting out of direct marketing.</w:t>
      </w:r>
      <w:r w:rsidRPr="508D9A65">
        <w:rPr>
          <w:rFonts w:ascii="-webkit-standard" w:hAnsi="-webkit-standard"/>
          <w:color w:val="000000" w:themeColor="text1"/>
          <w:sz w:val="27"/>
          <w:szCs w:val="27"/>
        </w:rPr>
        <w:t xml:space="preserve"> </w:t>
      </w:r>
      <w:r w:rsidR="4F5BB6F5" w:rsidRPr="508D9A65">
        <w:rPr>
          <w:rFonts w:eastAsiaTheme="minorEastAsia"/>
        </w:rPr>
        <w:t>H</w:t>
      </w:r>
      <w:r w:rsidR="2EB6F928" w:rsidRPr="508D9A65">
        <w:rPr>
          <w:rFonts w:eastAsiaTheme="minorEastAsia"/>
        </w:rPr>
        <w:t>o</w:t>
      </w:r>
      <w:r w:rsidR="4F5BB6F5" w:rsidRPr="508D9A65">
        <w:rPr>
          <w:rFonts w:eastAsiaTheme="minorEastAsia"/>
        </w:rPr>
        <w:t xml:space="preserve">wever, </w:t>
      </w:r>
      <w:r w:rsidR="5A98B930" w:rsidRPr="508D9A65">
        <w:rPr>
          <w:rFonts w:eastAsiaTheme="minorEastAsia"/>
        </w:rPr>
        <w:t>p</w:t>
      </w:r>
      <w:r w:rsidR="2A532DDC" w:rsidRPr="508D9A65">
        <w:rPr>
          <w:rFonts w:eastAsiaTheme="minorEastAsia"/>
        </w:rPr>
        <w:t xml:space="preserve">rivacy by design extends far beyond </w:t>
      </w:r>
      <w:r w:rsidR="0B2F8F1B" w:rsidRPr="508D9A65">
        <w:rPr>
          <w:rFonts w:eastAsiaTheme="minorEastAsia"/>
        </w:rPr>
        <w:t xml:space="preserve">these aspects </w:t>
      </w:r>
      <w:r w:rsidR="057CD217" w:rsidRPr="508D9A65">
        <w:rPr>
          <w:rFonts w:eastAsiaTheme="minorEastAsia"/>
        </w:rPr>
        <w:t>– i</w:t>
      </w:r>
      <w:r w:rsidR="2A532DDC" w:rsidRPr="508D9A65">
        <w:rPr>
          <w:rFonts w:eastAsiaTheme="minorEastAsia"/>
        </w:rPr>
        <w:t>ts practice must be embedded in the entire user experience</w:t>
      </w:r>
      <w:r w:rsidR="6AA2B5D6" w:rsidRPr="508D9A65">
        <w:rPr>
          <w:rFonts w:eastAsiaTheme="minorEastAsia"/>
        </w:rPr>
        <w:t xml:space="preserve">. </w:t>
      </w:r>
      <w:r w:rsidR="5027ADC1" w:rsidRPr="002958C0">
        <w:rPr>
          <w:rFonts w:eastAsiaTheme="minorEastAsia"/>
          <w:b/>
          <w:bCs/>
        </w:rPr>
        <w:t>The Code must explicitly address these interface design dimensions, not just data flows</w:t>
      </w:r>
      <w:r w:rsidR="375B5ADE" w:rsidRPr="002958C0">
        <w:rPr>
          <w:rFonts w:eastAsiaTheme="minorEastAsia"/>
          <w:b/>
          <w:bCs/>
        </w:rPr>
        <w:t>, by embedding privacy by design as a core requirement</w:t>
      </w:r>
      <w:r w:rsidR="6C5A2016" w:rsidRPr="002958C0">
        <w:rPr>
          <w:rFonts w:eastAsiaTheme="minorEastAsia"/>
          <w:b/>
          <w:bCs/>
        </w:rPr>
        <w:t xml:space="preserve"> of relevant entities bound by the Code</w:t>
      </w:r>
      <w:r w:rsidR="5027ADC1" w:rsidRPr="002958C0">
        <w:rPr>
          <w:rFonts w:eastAsiaTheme="minorEastAsia"/>
          <w:b/>
          <w:bCs/>
        </w:rPr>
        <w:t>.</w:t>
      </w:r>
    </w:p>
    <w:p w14:paraId="5CE4064A" w14:textId="36DACE87" w:rsidR="006B47D7" w:rsidRDefault="00404CD4" w:rsidP="000954F0">
      <w:pPr>
        <w:spacing w:after="160" w:line="259" w:lineRule="auto"/>
        <w:rPr>
          <w:rFonts w:eastAsiaTheme="minorEastAsia"/>
        </w:rPr>
      </w:pPr>
      <w:r w:rsidRPr="000954F0">
        <w:rPr>
          <w:rFonts w:eastAsiaTheme="minorEastAsia"/>
        </w:rPr>
        <w:t>D</w:t>
      </w:r>
      <w:r w:rsidR="4467B78E" w:rsidRPr="000954F0">
        <w:rPr>
          <w:rFonts w:eastAsiaTheme="minorEastAsia"/>
        </w:rPr>
        <w:t>esign</w:t>
      </w:r>
      <w:r w:rsidRPr="000954F0">
        <w:rPr>
          <w:rFonts w:eastAsiaTheme="minorEastAsia"/>
        </w:rPr>
        <w:t xml:space="preserve"> encompasses </w:t>
      </w:r>
      <w:r w:rsidR="4467B78E" w:rsidRPr="000954F0">
        <w:rPr>
          <w:rFonts w:eastAsiaTheme="minorEastAsia"/>
        </w:rPr>
        <w:t>how consent is sought, how information is communicated, and how interface design enables children to meaningfully understand and engage with data practices. This means designing age</w:t>
      </w:r>
      <w:r w:rsidR="00D1105B" w:rsidRPr="002B2713">
        <w:noBreakHyphen/>
      </w:r>
      <w:r w:rsidR="4467B78E" w:rsidRPr="000954F0">
        <w:rPr>
          <w:rFonts w:eastAsiaTheme="minorEastAsia"/>
        </w:rPr>
        <w:t>appropriate, accessible, and inclusive interactions, accounting not only for developmental stages but also for diversity and disability, that help children grasp what their data represents and what they are agreeing to</w:t>
      </w:r>
      <w:r w:rsidR="241718FE" w:rsidRPr="50D9E41E">
        <w:rPr>
          <w:rFonts w:eastAsiaTheme="minorEastAsia"/>
        </w:rPr>
        <w:t xml:space="preserve"> when consenting</w:t>
      </w:r>
      <w:r w:rsidR="4467B78E" w:rsidRPr="000954F0">
        <w:rPr>
          <w:rFonts w:eastAsiaTheme="minorEastAsia"/>
        </w:rPr>
        <w:t>. Crucially, well-designed systems should introduce constructive friction at key decision points (such as sign</w:t>
      </w:r>
      <w:r w:rsidR="00D1105B" w:rsidRPr="002B2713">
        <w:noBreakHyphen/>
      </w:r>
      <w:r w:rsidR="4467B78E" w:rsidRPr="000954F0">
        <w:rPr>
          <w:rFonts w:eastAsiaTheme="minorEastAsia"/>
        </w:rPr>
        <w:t xml:space="preserve">up or data sharing prompts) to create opportunities for reflection and informed choice, rather than enabling passive or manipulated consent. Privacy risks are often embedded in specific design features and techniques, including persuasive or manipulative interface elements that shape user behaviour. </w:t>
      </w:r>
    </w:p>
    <w:p w14:paraId="367DA78C" w14:textId="0372B7ED" w:rsidR="001C47D0" w:rsidRDefault="2A532DDC" w:rsidP="508D9A65">
      <w:pPr>
        <w:spacing w:after="160" w:line="259" w:lineRule="auto"/>
        <w:rPr>
          <w:rFonts w:eastAsiaTheme="minorEastAsia"/>
        </w:rPr>
      </w:pPr>
      <w:r w:rsidRPr="508D9A65">
        <w:rPr>
          <w:rFonts w:eastAsiaTheme="minorEastAsia"/>
        </w:rPr>
        <w:t xml:space="preserve">Further, privacy impact assessments should systematically evaluate interface features and user journeys, including timing of consent, privacy defaults and visibility of terms, and consent pathways. Examples include impact assessment of grace periods for service access when </w:t>
      </w:r>
      <w:r w:rsidR="6BC8A553" w:rsidRPr="508D9A65">
        <w:rPr>
          <w:rFonts w:eastAsiaTheme="minorEastAsia"/>
        </w:rPr>
        <w:t xml:space="preserve">a </w:t>
      </w:r>
      <w:r w:rsidRPr="508D9A65">
        <w:rPr>
          <w:rFonts w:eastAsiaTheme="minorEastAsia"/>
        </w:rPr>
        <w:t xml:space="preserve">system identifies the user is a child, staged decision-making when users prompt account deletion, </w:t>
      </w:r>
      <w:r w:rsidR="22F8E7B9" w:rsidRPr="508D9A65">
        <w:rPr>
          <w:rFonts w:eastAsiaTheme="minorEastAsia"/>
        </w:rPr>
        <w:t xml:space="preserve">and </w:t>
      </w:r>
      <w:r w:rsidRPr="508D9A65">
        <w:rPr>
          <w:rFonts w:eastAsiaTheme="minorEastAsia"/>
        </w:rPr>
        <w:t>assessing the impact of how time-sensitive terms of service clauses are advertised (e.g.</w:t>
      </w:r>
      <w:r w:rsidR="003C0A91">
        <w:rPr>
          <w:rFonts w:eastAsiaTheme="minorEastAsia"/>
        </w:rPr>
        <w:t xml:space="preserve"> </w:t>
      </w:r>
      <w:r w:rsidRPr="508D9A65">
        <w:rPr>
          <w:rFonts w:eastAsiaTheme="minorEastAsia"/>
        </w:rPr>
        <w:t xml:space="preserve">30-day arbitration opt-out window). </w:t>
      </w:r>
    </w:p>
    <w:p w14:paraId="7D1C05C0" w14:textId="4C44A684" w:rsidR="00D1105B" w:rsidRDefault="4467B78E" w:rsidP="000954F0">
      <w:pPr>
        <w:spacing w:after="160" w:line="259" w:lineRule="auto"/>
        <w:rPr>
          <w:b/>
          <w:bCs/>
        </w:rPr>
      </w:pPr>
      <w:r w:rsidRPr="000954F0">
        <w:rPr>
          <w:rFonts w:eastAsiaTheme="minorEastAsia"/>
        </w:rPr>
        <w:t>Finally, given that organisations will operationalise these requirements in varied ways, there must be robust oversight and scrutiny of how privacy by design is implemented in practice, ensuring alignment with ethical approaches and safeguarding against superficial or compliance</w:t>
      </w:r>
      <w:r w:rsidR="00D1105B" w:rsidRPr="002B2713">
        <w:noBreakHyphen/>
      </w:r>
      <w:r w:rsidRPr="000954F0">
        <w:rPr>
          <w:rFonts w:eastAsiaTheme="minorEastAsia"/>
        </w:rPr>
        <w:t>driven interpretations of the Code.</w:t>
      </w:r>
      <w:r w:rsidR="15C24B1C" w:rsidRPr="000954F0">
        <w:rPr>
          <w:rFonts w:eastAsiaTheme="minorEastAsia"/>
        </w:rPr>
        <w:t xml:space="preserve"> Best practices in consent </w:t>
      </w:r>
      <w:r w:rsidR="004B2833">
        <w:rPr>
          <w:rFonts w:eastAsiaTheme="minorEastAsia"/>
        </w:rPr>
        <w:t>are</w:t>
      </w:r>
      <w:r w:rsidR="15C24B1C" w:rsidRPr="000954F0">
        <w:rPr>
          <w:rFonts w:eastAsiaTheme="minorEastAsia"/>
        </w:rPr>
        <w:t xml:space="preserve"> available across research and health domains</w:t>
      </w:r>
      <w:r w:rsidR="611CCADD" w:rsidRPr="000954F0">
        <w:rPr>
          <w:rFonts w:eastAsiaTheme="minorEastAsia"/>
        </w:rPr>
        <w:t xml:space="preserve"> which can be replicated.</w:t>
      </w:r>
    </w:p>
    <w:p w14:paraId="57EBE315" w14:textId="311FD1A6" w:rsidR="009A2B77" w:rsidRDefault="009A2608" w:rsidP="000954F0">
      <w:pPr>
        <w:pStyle w:val="Heading1"/>
        <w:rPr>
          <w:b/>
          <w:bCs/>
        </w:rPr>
      </w:pPr>
      <w:bookmarkStart w:id="30" w:name="_Toc230896252"/>
      <w:r>
        <w:t xml:space="preserve">Age assurance technologies </w:t>
      </w:r>
      <w:r w:rsidRPr="00BD6CAD">
        <w:t>and</w:t>
      </w:r>
      <w:r>
        <w:t xml:space="preserve"> privacy risk</w:t>
      </w:r>
      <w:bookmarkEnd w:id="30"/>
    </w:p>
    <w:p w14:paraId="4D0834FB" w14:textId="6DF92EB6" w:rsidR="42EF1519" w:rsidRDefault="42EF1519" w:rsidP="00BB1764">
      <w:pPr>
        <w:spacing w:before="240" w:after="240" w:line="259" w:lineRule="auto"/>
        <w:rPr>
          <w:b/>
          <w:bCs/>
        </w:rPr>
      </w:pPr>
      <w:r w:rsidRPr="000954F0">
        <w:rPr>
          <w:b/>
          <w:bCs/>
        </w:rPr>
        <w:t xml:space="preserve">Recommendation: </w:t>
      </w:r>
      <w:r w:rsidR="00562FCD" w:rsidRPr="68ED6CBA">
        <w:rPr>
          <w:b/>
        </w:rPr>
        <w:t>Impose stronger regulatory safeguards for age assurance systems and processes, including heavy penalties for retaining children’s personal information and data breaches.</w:t>
      </w:r>
    </w:p>
    <w:p w14:paraId="7CB034F7" w14:textId="770993CD" w:rsidR="00BC256B" w:rsidRDefault="32A1163A" w:rsidP="00A3713A">
      <w:pPr>
        <w:spacing w:before="240" w:after="240" w:line="259" w:lineRule="auto"/>
        <w:rPr>
          <w:color w:val="000000" w:themeColor="text1"/>
        </w:rPr>
      </w:pPr>
      <w:r w:rsidRPr="508D9A65">
        <w:rPr>
          <w:color w:val="000000" w:themeColor="text1"/>
        </w:rPr>
        <w:lastRenderedPageBreak/>
        <w:t xml:space="preserve">The </w:t>
      </w:r>
      <w:r w:rsidR="5B9B4CDC" w:rsidRPr="508D9A65">
        <w:rPr>
          <w:color w:val="000000" w:themeColor="text1"/>
        </w:rPr>
        <w:t xml:space="preserve">Code requires that </w:t>
      </w:r>
      <w:r w:rsidR="0C7AC7EE" w:rsidRPr="508D9A65">
        <w:rPr>
          <w:color w:val="000000" w:themeColor="text1"/>
        </w:rPr>
        <w:t xml:space="preserve">relevant companies take reasonable steps to </w:t>
      </w:r>
      <w:r w:rsidR="54F1BA58" w:rsidRPr="508D9A65">
        <w:rPr>
          <w:color w:val="000000" w:themeColor="text1"/>
        </w:rPr>
        <w:t>ascertain the age</w:t>
      </w:r>
      <w:r w:rsidRPr="508D9A65">
        <w:rPr>
          <w:color w:val="000000" w:themeColor="text1"/>
        </w:rPr>
        <w:t xml:space="preserve"> of </w:t>
      </w:r>
      <w:r w:rsidR="54F1BA58" w:rsidRPr="508D9A65">
        <w:rPr>
          <w:color w:val="000000" w:themeColor="text1"/>
        </w:rPr>
        <w:t>the end-user</w:t>
      </w:r>
      <w:r w:rsidR="4AA1CFE7" w:rsidRPr="508D9A65">
        <w:rPr>
          <w:color w:val="000000" w:themeColor="text1"/>
        </w:rPr>
        <w:t xml:space="preserve"> (</w:t>
      </w:r>
      <w:r w:rsidR="43E5B122" w:rsidRPr="508D9A65">
        <w:rPr>
          <w:color w:val="000000" w:themeColor="text1"/>
        </w:rPr>
        <w:t>s</w:t>
      </w:r>
      <w:r w:rsidR="4AA1CFE7" w:rsidRPr="508D9A65">
        <w:rPr>
          <w:color w:val="000000" w:themeColor="text1"/>
        </w:rPr>
        <w:t>ection 8</w:t>
      </w:r>
      <w:r w:rsidR="12284494" w:rsidRPr="508D9A65">
        <w:rPr>
          <w:color w:val="000000" w:themeColor="text1"/>
        </w:rPr>
        <w:t>(1)</w:t>
      </w:r>
      <w:r w:rsidR="4AA1CFE7" w:rsidRPr="508D9A65">
        <w:rPr>
          <w:color w:val="000000" w:themeColor="text1"/>
        </w:rPr>
        <w:t xml:space="preserve">). </w:t>
      </w:r>
      <w:r w:rsidR="3B6B4280" w:rsidRPr="508D9A65">
        <w:rPr>
          <w:color w:val="000000" w:themeColor="text1"/>
        </w:rPr>
        <w:t>While</w:t>
      </w:r>
      <w:r w:rsidR="4EB1D143" w:rsidRPr="508D9A65">
        <w:rPr>
          <w:color w:val="000000" w:themeColor="text1"/>
        </w:rPr>
        <w:t xml:space="preserve"> there </w:t>
      </w:r>
      <w:r w:rsidR="6CF93446" w:rsidRPr="508D9A65">
        <w:rPr>
          <w:color w:val="000000" w:themeColor="text1"/>
        </w:rPr>
        <w:t xml:space="preserve">is </w:t>
      </w:r>
      <w:r w:rsidR="47C10D4B" w:rsidRPr="508D9A65">
        <w:rPr>
          <w:color w:val="000000" w:themeColor="text1"/>
        </w:rPr>
        <w:t>an</w:t>
      </w:r>
      <w:r w:rsidR="4EB1D143" w:rsidRPr="508D9A65">
        <w:rPr>
          <w:color w:val="000000" w:themeColor="text1"/>
        </w:rPr>
        <w:t xml:space="preserve"> </w:t>
      </w:r>
      <w:r w:rsidR="06153528" w:rsidRPr="508D9A65">
        <w:rPr>
          <w:color w:val="000000" w:themeColor="text1"/>
        </w:rPr>
        <w:t>exempt</w:t>
      </w:r>
      <w:r w:rsidR="47C10D4B" w:rsidRPr="508D9A65">
        <w:rPr>
          <w:color w:val="000000" w:themeColor="text1"/>
        </w:rPr>
        <w:t xml:space="preserve">ion </w:t>
      </w:r>
      <w:r w:rsidR="010DE44F" w:rsidRPr="508D9A65">
        <w:rPr>
          <w:color w:val="000000" w:themeColor="text1"/>
        </w:rPr>
        <w:t xml:space="preserve">for </w:t>
      </w:r>
      <w:r w:rsidR="0A63CDF5" w:rsidRPr="508D9A65">
        <w:rPr>
          <w:color w:val="000000" w:themeColor="text1"/>
        </w:rPr>
        <w:t xml:space="preserve">entities that apply the protections </w:t>
      </w:r>
      <w:r w:rsidR="3EE0B0A6" w:rsidRPr="508D9A65">
        <w:rPr>
          <w:color w:val="000000" w:themeColor="text1"/>
        </w:rPr>
        <w:t>in the Code to all end-users</w:t>
      </w:r>
      <w:r w:rsidR="2A53A37A" w:rsidRPr="508D9A65">
        <w:rPr>
          <w:color w:val="000000" w:themeColor="text1"/>
        </w:rPr>
        <w:t xml:space="preserve"> (</w:t>
      </w:r>
      <w:r w:rsidR="43E5B122" w:rsidRPr="508D9A65">
        <w:rPr>
          <w:color w:val="000000" w:themeColor="text1"/>
        </w:rPr>
        <w:t>s</w:t>
      </w:r>
      <w:r w:rsidR="2A53A37A" w:rsidRPr="508D9A65">
        <w:rPr>
          <w:color w:val="000000" w:themeColor="text1"/>
        </w:rPr>
        <w:t>ection 8(5))</w:t>
      </w:r>
      <w:r w:rsidR="3EE0B0A6" w:rsidRPr="508D9A65">
        <w:rPr>
          <w:color w:val="000000" w:themeColor="text1"/>
        </w:rPr>
        <w:t xml:space="preserve">, </w:t>
      </w:r>
      <w:r w:rsidRPr="508D9A65">
        <w:rPr>
          <w:color w:val="000000" w:themeColor="text1"/>
        </w:rPr>
        <w:t xml:space="preserve">age assurance technologies </w:t>
      </w:r>
      <w:r w:rsidR="3EE0B0A6" w:rsidRPr="508D9A65">
        <w:rPr>
          <w:color w:val="000000" w:themeColor="text1"/>
        </w:rPr>
        <w:t xml:space="preserve">will </w:t>
      </w:r>
      <w:r w:rsidR="47C10D4B" w:rsidRPr="508D9A65">
        <w:rPr>
          <w:color w:val="000000" w:themeColor="text1"/>
        </w:rPr>
        <w:t xml:space="preserve">likely </w:t>
      </w:r>
      <w:r w:rsidR="3EE0B0A6" w:rsidRPr="508D9A65">
        <w:rPr>
          <w:color w:val="000000" w:themeColor="text1"/>
        </w:rPr>
        <w:t xml:space="preserve">become </w:t>
      </w:r>
      <w:r w:rsidR="362439B3" w:rsidRPr="508D9A65">
        <w:rPr>
          <w:color w:val="000000" w:themeColor="text1"/>
        </w:rPr>
        <w:t>the</w:t>
      </w:r>
      <w:r w:rsidR="3EE0B0A6" w:rsidRPr="508D9A65">
        <w:rPr>
          <w:color w:val="000000" w:themeColor="text1"/>
        </w:rPr>
        <w:t xml:space="preserve"> </w:t>
      </w:r>
      <w:r w:rsidR="362439B3" w:rsidRPr="508D9A65">
        <w:rPr>
          <w:color w:val="000000" w:themeColor="text1"/>
        </w:rPr>
        <w:t xml:space="preserve">main </w:t>
      </w:r>
      <w:r w:rsidR="3EE0B0A6" w:rsidRPr="508D9A65">
        <w:rPr>
          <w:color w:val="000000" w:themeColor="text1"/>
        </w:rPr>
        <w:t xml:space="preserve">means </w:t>
      </w:r>
      <w:r w:rsidRPr="508D9A65">
        <w:rPr>
          <w:color w:val="000000" w:themeColor="text1"/>
        </w:rPr>
        <w:t>to determine whether a child is under 15</w:t>
      </w:r>
      <w:r w:rsidR="793341B0" w:rsidRPr="508D9A65">
        <w:rPr>
          <w:color w:val="000000" w:themeColor="text1"/>
        </w:rPr>
        <w:t xml:space="preserve"> years</w:t>
      </w:r>
      <w:r w:rsidRPr="508D9A65">
        <w:rPr>
          <w:color w:val="000000" w:themeColor="text1"/>
        </w:rPr>
        <w:t xml:space="preserve"> for the purpose of identifying the appropriate method of consent</w:t>
      </w:r>
      <w:r w:rsidR="3EE0B0A6" w:rsidRPr="508D9A65">
        <w:rPr>
          <w:color w:val="000000" w:themeColor="text1"/>
        </w:rPr>
        <w:t xml:space="preserve">. </w:t>
      </w:r>
      <w:r w:rsidR="6F12841E" w:rsidRPr="508D9A65">
        <w:rPr>
          <w:color w:val="000000" w:themeColor="text1"/>
        </w:rPr>
        <w:t>Th</w:t>
      </w:r>
      <w:r w:rsidR="32B2B0FF" w:rsidRPr="508D9A65">
        <w:rPr>
          <w:color w:val="000000" w:themeColor="text1"/>
        </w:rPr>
        <w:t>is</w:t>
      </w:r>
      <w:r w:rsidRPr="508D9A65">
        <w:rPr>
          <w:color w:val="000000" w:themeColor="text1"/>
        </w:rPr>
        <w:t xml:space="preserve"> introduces new and significant privacy and data security risks for children. These risks are not hypothetical. </w:t>
      </w:r>
    </w:p>
    <w:p w14:paraId="09BCF64C" w14:textId="2E07CF80" w:rsidR="6AB98E07" w:rsidRPr="008B1365" w:rsidRDefault="008B1365" w:rsidP="00A3713A">
      <w:pPr>
        <w:spacing w:before="240" w:after="240" w:line="259" w:lineRule="auto"/>
      </w:pPr>
      <w:r w:rsidRPr="000954F0">
        <w:rPr>
          <w:color w:val="000000" w:themeColor="text1"/>
        </w:rPr>
        <w:t>There have already been several widely reported incidents involving the exposure and misuse of children</w:t>
      </w:r>
      <w:r w:rsidR="005E76ED" w:rsidRPr="5F4CE555">
        <w:rPr>
          <w:color w:val="000000" w:themeColor="text1"/>
        </w:rPr>
        <w:t>’</w:t>
      </w:r>
      <w:r w:rsidRPr="000954F0">
        <w:rPr>
          <w:color w:val="000000" w:themeColor="text1"/>
        </w:rPr>
        <w:t>s personal information collected through age verification systems. One notable example was the late-2025 data breach involving a third-party age-verification vendor used by</w:t>
      </w:r>
      <w:r w:rsidRPr="000954F0">
        <w:rPr>
          <w:rStyle w:val="apple-converted-space"/>
          <w:rFonts w:hint="eastAsia"/>
          <w:color w:val="000000" w:themeColor="text1"/>
        </w:rPr>
        <w:t> </w:t>
      </w:r>
      <w:r w:rsidRPr="5F4CE555">
        <w:rPr>
          <w:rStyle w:val="whitespace-normal"/>
          <w:color w:val="000000" w:themeColor="text1"/>
        </w:rPr>
        <w:t>Discord</w:t>
      </w:r>
      <w:r w:rsidRPr="000954F0">
        <w:rPr>
          <w:color w:val="000000" w:themeColor="text1"/>
        </w:rPr>
        <w:t>, which exposed the names, email addresses, support messages, IP addresses, and government identification photos of approximately 68,000 users globally, with Australian children disproportionately affected.</w:t>
      </w:r>
      <w:r w:rsidR="00213AAF" w:rsidRPr="008B1365">
        <w:rPr>
          <w:rStyle w:val="FootnoteReference"/>
          <w:color w:val="0A0A0A"/>
        </w:rPr>
        <w:footnoteReference w:id="8"/>
      </w:r>
      <w:r w:rsidR="00A62A3D" w:rsidRPr="5F4CE555">
        <w:rPr>
          <w:color w:val="000000" w:themeColor="text1"/>
        </w:rPr>
        <w:t xml:space="preserve"> </w:t>
      </w:r>
      <w:r w:rsidR="00A62A3D" w:rsidRPr="000954F0">
        <w:rPr>
          <w:color w:val="000000" w:themeColor="text1"/>
        </w:rPr>
        <w:t>In this case, selfies and identification documents uploaded by children for verification purposes were reportedly retained to support appeals and dispute resolution processes, illustrating how data collected for ostensibly limited purposes can quickly be repurposed and stored for extended periods.</w:t>
      </w:r>
    </w:p>
    <w:p w14:paraId="0101635D" w14:textId="4FFC236D" w:rsidR="00B9241A" w:rsidRPr="000954F0" w:rsidRDefault="00B9241A" w:rsidP="000954F0">
      <w:pPr>
        <w:pStyle w:val="NormalWeb"/>
        <w:spacing w:line="259" w:lineRule="auto"/>
        <w:rPr>
          <w:rFonts w:ascii="Arial" w:hAnsi="Arial" w:cs="Arial"/>
          <w:color w:val="000000"/>
          <w:sz w:val="22"/>
          <w:szCs w:val="22"/>
        </w:rPr>
      </w:pPr>
      <w:r w:rsidRPr="000954F0">
        <w:rPr>
          <w:rFonts w:ascii="Arial" w:hAnsi="Arial" w:cs="Arial"/>
          <w:color w:val="000000" w:themeColor="text1"/>
          <w:sz w:val="22"/>
          <w:szCs w:val="22"/>
        </w:rPr>
        <w:t>These examples demonstrate that age assurance systems can create new concentrations of highly sensitive personal information, including biometric data, facial images, government identification documents, behavioural metadat</w:t>
      </w:r>
      <w:r w:rsidR="00C70CDF" w:rsidRPr="19FCD6F7">
        <w:rPr>
          <w:rFonts w:ascii="Arial" w:hAnsi="Arial" w:cs="Arial"/>
          <w:color w:val="000000" w:themeColor="text1"/>
          <w:sz w:val="22"/>
          <w:szCs w:val="22"/>
        </w:rPr>
        <w:t>a</w:t>
      </w:r>
      <w:r w:rsidRPr="000954F0">
        <w:rPr>
          <w:rFonts w:ascii="Arial" w:hAnsi="Arial" w:cs="Arial"/>
          <w:color w:val="000000" w:themeColor="text1"/>
          <w:sz w:val="22"/>
          <w:szCs w:val="22"/>
        </w:rPr>
        <w:t xml:space="preserve"> and device information. Such datasets are particularly attractive targets for cyberattacks and identity theft</w:t>
      </w:r>
      <w:r>
        <w:rPr>
          <w:rFonts w:ascii="Arial" w:hAnsi="Arial" w:cs="Arial"/>
          <w:color w:val="000000" w:themeColor="text1"/>
          <w:sz w:val="22"/>
          <w:szCs w:val="22"/>
        </w:rPr>
        <w:t xml:space="preserve"> and </w:t>
      </w:r>
      <w:r w:rsidR="003C3B37">
        <w:rPr>
          <w:rFonts w:ascii="Arial" w:hAnsi="Arial" w:cs="Arial"/>
          <w:color w:val="000000" w:themeColor="text1"/>
          <w:sz w:val="22"/>
          <w:szCs w:val="22"/>
        </w:rPr>
        <w:t>have the potential to be</w:t>
      </w:r>
      <w:r>
        <w:rPr>
          <w:rFonts w:ascii="Arial" w:hAnsi="Arial" w:cs="Arial"/>
          <w:color w:val="000000" w:themeColor="text1"/>
          <w:sz w:val="22"/>
          <w:szCs w:val="22"/>
        </w:rPr>
        <w:t xml:space="preserve"> used for commercial</w:t>
      </w:r>
      <w:r w:rsidR="003C3B37">
        <w:rPr>
          <w:rFonts w:ascii="Arial" w:hAnsi="Arial" w:cs="Arial"/>
          <w:color w:val="000000" w:themeColor="text1"/>
          <w:sz w:val="22"/>
          <w:szCs w:val="22"/>
        </w:rPr>
        <w:t xml:space="preserve"> purposes</w:t>
      </w:r>
      <w:r w:rsidRPr="000954F0">
        <w:rPr>
          <w:rFonts w:ascii="Arial" w:hAnsi="Arial" w:cs="Arial"/>
          <w:color w:val="000000" w:themeColor="text1"/>
          <w:sz w:val="22"/>
          <w:szCs w:val="22"/>
        </w:rPr>
        <w:t xml:space="preserve">. </w:t>
      </w:r>
      <w:r w:rsidR="0094351D">
        <w:rPr>
          <w:rFonts w:ascii="Arial" w:hAnsi="Arial" w:cs="Arial"/>
          <w:color w:val="000000" w:themeColor="text1"/>
          <w:sz w:val="22"/>
          <w:szCs w:val="22"/>
        </w:rPr>
        <w:t xml:space="preserve">Even with a </w:t>
      </w:r>
      <w:r w:rsidR="005673AF">
        <w:rPr>
          <w:rFonts w:ascii="Arial" w:hAnsi="Arial" w:cs="Arial"/>
          <w:color w:val="000000" w:themeColor="text1"/>
          <w:sz w:val="22"/>
          <w:szCs w:val="22"/>
        </w:rPr>
        <w:t>provision</w:t>
      </w:r>
      <w:r w:rsidR="0094351D">
        <w:rPr>
          <w:rFonts w:ascii="Arial" w:hAnsi="Arial" w:cs="Arial"/>
          <w:color w:val="000000" w:themeColor="text1"/>
          <w:sz w:val="22"/>
          <w:szCs w:val="22"/>
        </w:rPr>
        <w:t xml:space="preserve"> to ensure that </w:t>
      </w:r>
      <w:r w:rsidR="005673AF">
        <w:rPr>
          <w:rFonts w:ascii="Arial" w:hAnsi="Arial" w:cs="Arial"/>
          <w:color w:val="000000" w:themeColor="text1"/>
          <w:sz w:val="22"/>
          <w:szCs w:val="22"/>
        </w:rPr>
        <w:t>personal information collected to verify age is destroyed as soon as practicable (</w:t>
      </w:r>
      <w:r w:rsidR="00BF71F2">
        <w:rPr>
          <w:rFonts w:ascii="Arial" w:hAnsi="Arial" w:cs="Arial"/>
          <w:color w:val="000000" w:themeColor="text1"/>
          <w:sz w:val="22"/>
          <w:szCs w:val="22"/>
        </w:rPr>
        <w:t>s</w:t>
      </w:r>
      <w:r w:rsidR="005673AF">
        <w:rPr>
          <w:rFonts w:ascii="Arial" w:hAnsi="Arial" w:cs="Arial"/>
          <w:color w:val="000000" w:themeColor="text1"/>
          <w:sz w:val="22"/>
          <w:szCs w:val="22"/>
        </w:rPr>
        <w:t>ection 8(</w:t>
      </w:r>
      <w:r w:rsidR="00FB0E72">
        <w:rPr>
          <w:rFonts w:ascii="Arial" w:hAnsi="Arial" w:cs="Arial"/>
          <w:color w:val="000000" w:themeColor="text1"/>
          <w:sz w:val="22"/>
          <w:szCs w:val="22"/>
        </w:rPr>
        <w:t>4)), data retention is a major concern and probability.</w:t>
      </w:r>
    </w:p>
    <w:p w14:paraId="63676294" w14:textId="5D2463AA" w:rsidR="00F22E62" w:rsidRDefault="00B9241A" w:rsidP="000954F0">
      <w:pPr>
        <w:pStyle w:val="NormalWeb"/>
        <w:spacing w:line="259" w:lineRule="auto"/>
        <w:rPr>
          <w:rFonts w:ascii="Arial" w:hAnsi="Arial" w:cs="Arial"/>
          <w:color w:val="000000"/>
          <w:sz w:val="22"/>
          <w:szCs w:val="22"/>
        </w:rPr>
      </w:pPr>
      <w:r w:rsidRPr="000954F0">
        <w:rPr>
          <w:rFonts w:ascii="Arial" w:hAnsi="Arial" w:cs="Arial"/>
          <w:color w:val="000000" w:themeColor="text1"/>
          <w:sz w:val="22"/>
          <w:szCs w:val="22"/>
        </w:rPr>
        <w:t>The Australian Government</w:t>
      </w:r>
      <w:r w:rsidR="005E76ED">
        <w:rPr>
          <w:rFonts w:ascii="Arial" w:hAnsi="Arial" w:cs="Arial"/>
          <w:color w:val="000000" w:themeColor="text1"/>
          <w:sz w:val="22"/>
          <w:szCs w:val="22"/>
        </w:rPr>
        <w:t>’</w:t>
      </w:r>
      <w:r w:rsidRPr="000954F0">
        <w:rPr>
          <w:rFonts w:ascii="Arial" w:hAnsi="Arial" w:cs="Arial"/>
          <w:color w:val="000000" w:themeColor="text1"/>
          <w:sz w:val="22"/>
          <w:szCs w:val="22"/>
        </w:rPr>
        <w:t xml:space="preserve">s Age Assurance Trial </w:t>
      </w:r>
      <w:r w:rsidR="00C96B80" w:rsidRPr="4722E2D7">
        <w:rPr>
          <w:rFonts w:ascii="Arial" w:hAnsi="Arial" w:cs="Arial"/>
          <w:color w:val="000000" w:themeColor="text1"/>
          <w:sz w:val="22"/>
          <w:szCs w:val="22"/>
        </w:rPr>
        <w:t xml:space="preserve">Final </w:t>
      </w:r>
      <w:r w:rsidRPr="000954F0">
        <w:rPr>
          <w:rFonts w:ascii="Arial" w:hAnsi="Arial" w:cs="Arial"/>
          <w:color w:val="000000" w:themeColor="text1"/>
          <w:sz w:val="22"/>
          <w:szCs w:val="22"/>
        </w:rPr>
        <w:t>report</w:t>
      </w:r>
      <w:r w:rsidR="00B30075">
        <w:rPr>
          <w:rStyle w:val="FootnoteReference"/>
          <w:rFonts w:ascii="Arial" w:hAnsi="Arial" w:cs="Arial"/>
          <w:color w:val="000000"/>
          <w:sz w:val="22"/>
          <w:szCs w:val="22"/>
        </w:rPr>
        <w:footnoteReference w:id="9"/>
      </w:r>
      <w:r w:rsidRPr="000954F0">
        <w:rPr>
          <w:rFonts w:ascii="Arial" w:hAnsi="Arial" w:cs="Arial"/>
          <w:color w:val="000000" w:themeColor="text1"/>
          <w:sz w:val="22"/>
          <w:szCs w:val="22"/>
        </w:rPr>
        <w:t>, which examined the feasibility of introducing age assurance measures</w:t>
      </w:r>
      <w:r w:rsidR="51CBC744" w:rsidRPr="000954F0">
        <w:rPr>
          <w:rFonts w:ascii="Arial" w:hAnsi="Arial" w:cs="Arial"/>
          <w:color w:val="000000" w:themeColor="text1"/>
          <w:sz w:val="22"/>
          <w:szCs w:val="22"/>
        </w:rPr>
        <w:t xml:space="preserve">, </w:t>
      </w:r>
      <w:r w:rsidR="77054C98" w:rsidRPr="71B16DE9">
        <w:rPr>
          <w:rFonts w:ascii="Arial" w:hAnsi="Arial" w:cs="Arial"/>
          <w:color w:val="000000" w:themeColor="text1"/>
          <w:sz w:val="22"/>
          <w:szCs w:val="22"/>
        </w:rPr>
        <w:t>found</w:t>
      </w:r>
      <w:r w:rsidRPr="71B16DE9">
        <w:rPr>
          <w:rFonts w:ascii="Arial" w:hAnsi="Arial" w:cs="Arial"/>
          <w:color w:val="000000" w:themeColor="text1"/>
          <w:sz w:val="22"/>
          <w:szCs w:val="22"/>
        </w:rPr>
        <w:t xml:space="preserve"> that</w:t>
      </w:r>
      <w:r w:rsidRPr="000954F0">
        <w:rPr>
          <w:rFonts w:ascii="Arial" w:hAnsi="Arial" w:cs="Arial"/>
          <w:color w:val="000000" w:themeColor="text1"/>
          <w:sz w:val="22"/>
          <w:szCs w:val="22"/>
        </w:rPr>
        <w:t xml:space="preserve"> providers frequently </w:t>
      </w:r>
      <w:r w:rsidR="7D818F13" w:rsidRPr="71B16DE9">
        <w:rPr>
          <w:rFonts w:ascii="Arial" w:hAnsi="Arial" w:cs="Arial"/>
          <w:color w:val="000000" w:themeColor="text1"/>
          <w:sz w:val="22"/>
          <w:szCs w:val="22"/>
        </w:rPr>
        <w:t>over-</w:t>
      </w:r>
      <w:r w:rsidRPr="000954F0">
        <w:rPr>
          <w:rFonts w:ascii="Arial" w:hAnsi="Arial" w:cs="Arial"/>
          <w:color w:val="000000" w:themeColor="text1"/>
          <w:sz w:val="22"/>
          <w:szCs w:val="22"/>
        </w:rPr>
        <w:t xml:space="preserve">retained user data to satisfy regulatory, audit, enforcement, and dispute resolution requirements. This highlights a broader structural issue within age assurance ecosystems: even systems promoted as </w:t>
      </w:r>
      <w:r w:rsidR="0CAA5481" w:rsidRPr="71B16DE9">
        <w:rPr>
          <w:rFonts w:ascii="Arial" w:hAnsi="Arial" w:cs="Arial"/>
          <w:color w:val="000000" w:themeColor="text1"/>
          <w:sz w:val="22"/>
          <w:szCs w:val="22"/>
        </w:rPr>
        <w:t>“</w:t>
      </w:r>
      <w:r w:rsidRPr="000954F0">
        <w:rPr>
          <w:rFonts w:ascii="Arial" w:hAnsi="Arial" w:cs="Arial"/>
          <w:color w:val="000000" w:themeColor="text1"/>
          <w:sz w:val="22"/>
          <w:szCs w:val="22"/>
        </w:rPr>
        <w:t>privacy-preserving</w:t>
      </w:r>
      <w:r w:rsidR="0CAA5481" w:rsidRPr="71B16DE9">
        <w:rPr>
          <w:rFonts w:ascii="Arial" w:hAnsi="Arial" w:cs="Arial"/>
          <w:color w:val="000000" w:themeColor="text1"/>
          <w:sz w:val="22"/>
          <w:szCs w:val="22"/>
        </w:rPr>
        <w:t>”</w:t>
      </w:r>
      <w:r w:rsidRPr="000954F0">
        <w:rPr>
          <w:rFonts w:ascii="Arial" w:hAnsi="Arial" w:cs="Arial"/>
          <w:color w:val="000000" w:themeColor="text1"/>
          <w:sz w:val="22"/>
          <w:szCs w:val="22"/>
        </w:rPr>
        <w:t xml:space="preserve"> may still require the ongoing storage of sensitive information to support accountability and compliance processes. In practice, this can undermine claims of data minimisation and create pressures toward expanded collection and retention practices over time.</w:t>
      </w:r>
    </w:p>
    <w:p w14:paraId="3C33411B" w14:textId="77696CC9" w:rsidR="00B9241A" w:rsidRPr="000954F0" w:rsidRDefault="00B9241A" w:rsidP="000954F0">
      <w:pPr>
        <w:pStyle w:val="NormalWeb"/>
        <w:spacing w:line="259" w:lineRule="auto"/>
        <w:rPr>
          <w:rFonts w:ascii="Arial" w:hAnsi="Arial" w:cs="Arial"/>
          <w:color w:val="000000"/>
          <w:sz w:val="22"/>
          <w:szCs w:val="22"/>
        </w:rPr>
      </w:pPr>
      <w:r w:rsidRPr="000954F0">
        <w:rPr>
          <w:rFonts w:ascii="Arial" w:hAnsi="Arial" w:cs="Arial"/>
          <w:color w:val="000000" w:themeColor="text1"/>
          <w:sz w:val="22"/>
          <w:szCs w:val="22"/>
        </w:rPr>
        <w:t xml:space="preserve">Importantly, the introduction of age assurance requirements may normalise the routine collection of identity and biometric data from children as a precondition for accessing online services. </w:t>
      </w:r>
      <w:proofErr w:type="gramStart"/>
      <w:r w:rsidRPr="000954F0">
        <w:rPr>
          <w:rFonts w:ascii="Arial" w:hAnsi="Arial" w:cs="Arial"/>
          <w:color w:val="000000" w:themeColor="text1"/>
          <w:sz w:val="22"/>
          <w:szCs w:val="22"/>
        </w:rPr>
        <w:t>This risks</w:t>
      </w:r>
      <w:proofErr w:type="gramEnd"/>
      <w:r w:rsidRPr="000954F0">
        <w:rPr>
          <w:rFonts w:ascii="Arial" w:hAnsi="Arial" w:cs="Arial"/>
          <w:color w:val="000000" w:themeColor="text1"/>
          <w:sz w:val="22"/>
          <w:szCs w:val="22"/>
        </w:rPr>
        <w:t xml:space="preserve"> shifting digital participation toward increasingly invasive forms of identification and surveillance, contrary to long-established privacy principles of proportionality and data minimisation. It also creates the possibility that children may be required to disclose more personal information </w:t>
      </w:r>
      <w:proofErr w:type="gramStart"/>
      <w:r w:rsidRPr="000954F0">
        <w:rPr>
          <w:rFonts w:ascii="Arial" w:hAnsi="Arial" w:cs="Arial"/>
          <w:color w:val="000000" w:themeColor="text1"/>
          <w:sz w:val="22"/>
          <w:szCs w:val="22"/>
        </w:rPr>
        <w:t>in order to</w:t>
      </w:r>
      <w:proofErr w:type="gramEnd"/>
      <w:r w:rsidRPr="000954F0">
        <w:rPr>
          <w:rFonts w:ascii="Arial" w:hAnsi="Arial" w:cs="Arial"/>
          <w:color w:val="000000" w:themeColor="text1"/>
          <w:sz w:val="22"/>
          <w:szCs w:val="22"/>
        </w:rPr>
        <w:t xml:space="preserve"> access low-risk or everyday digital services than would otherwise be necessary.</w:t>
      </w:r>
    </w:p>
    <w:p w14:paraId="25E25938" w14:textId="3C6F79C6" w:rsidR="007168E7" w:rsidRDefault="00B9241A" w:rsidP="000954F0">
      <w:pPr>
        <w:pStyle w:val="NormalWeb"/>
        <w:spacing w:line="259" w:lineRule="auto"/>
        <w:rPr>
          <w:rFonts w:ascii="Arial" w:hAnsi="Arial" w:cs="Arial"/>
          <w:color w:val="000000"/>
          <w:sz w:val="22"/>
          <w:szCs w:val="22"/>
        </w:rPr>
      </w:pPr>
      <w:r w:rsidRPr="000954F0">
        <w:rPr>
          <w:rFonts w:ascii="Arial" w:hAnsi="Arial" w:cs="Arial"/>
          <w:color w:val="000000"/>
          <w:sz w:val="22"/>
          <w:szCs w:val="22"/>
        </w:rPr>
        <w:t xml:space="preserve">For these reasons, </w:t>
      </w:r>
      <w:r w:rsidR="00A80B5E" w:rsidRPr="00D23AFB">
        <w:rPr>
          <w:rFonts w:ascii="Arial" w:hAnsi="Arial" w:cs="Arial"/>
          <w:b/>
          <w:bCs/>
          <w:color w:val="000000"/>
          <w:sz w:val="22"/>
          <w:szCs w:val="22"/>
        </w:rPr>
        <w:t>the Code</w:t>
      </w:r>
      <w:r w:rsidRPr="00D23AFB">
        <w:rPr>
          <w:rFonts w:ascii="Arial" w:hAnsi="Arial" w:cs="Arial"/>
          <w:b/>
          <w:bCs/>
          <w:color w:val="000000"/>
          <w:sz w:val="22"/>
          <w:szCs w:val="22"/>
        </w:rPr>
        <w:t xml:space="preserve"> should </w:t>
      </w:r>
      <w:r w:rsidR="00F503B8" w:rsidRPr="00D23AFB">
        <w:rPr>
          <w:rFonts w:ascii="Arial" w:hAnsi="Arial" w:cs="Arial"/>
          <w:b/>
          <w:bCs/>
          <w:color w:val="000000"/>
          <w:sz w:val="22"/>
          <w:szCs w:val="22"/>
        </w:rPr>
        <w:t>have</w:t>
      </w:r>
      <w:r w:rsidRPr="00D23AFB">
        <w:rPr>
          <w:rFonts w:ascii="Arial" w:hAnsi="Arial" w:cs="Arial"/>
          <w:b/>
          <w:bCs/>
          <w:color w:val="000000"/>
          <w:sz w:val="22"/>
          <w:szCs w:val="22"/>
        </w:rPr>
        <w:t xml:space="preserve"> </w:t>
      </w:r>
      <w:r w:rsidR="00050444" w:rsidRPr="00D23AFB">
        <w:rPr>
          <w:rFonts w:ascii="Arial" w:hAnsi="Arial" w:cs="Arial"/>
          <w:b/>
          <w:bCs/>
          <w:color w:val="000000"/>
          <w:sz w:val="22"/>
          <w:szCs w:val="22"/>
        </w:rPr>
        <w:t>stronger</w:t>
      </w:r>
      <w:r w:rsidR="00A80B5E" w:rsidRPr="00D23AFB">
        <w:rPr>
          <w:rFonts w:ascii="Arial" w:hAnsi="Arial" w:cs="Arial"/>
          <w:b/>
          <w:bCs/>
          <w:color w:val="000000"/>
          <w:sz w:val="22"/>
          <w:szCs w:val="22"/>
        </w:rPr>
        <w:t xml:space="preserve"> </w:t>
      </w:r>
      <w:r w:rsidRPr="00D23AFB">
        <w:rPr>
          <w:rFonts w:ascii="Arial" w:hAnsi="Arial" w:cs="Arial"/>
          <w:b/>
          <w:bCs/>
          <w:color w:val="000000"/>
          <w:sz w:val="22"/>
          <w:szCs w:val="22"/>
        </w:rPr>
        <w:t xml:space="preserve">safeguards around data minimisation, </w:t>
      </w:r>
      <w:r w:rsidR="008466E3" w:rsidRPr="00D23AFB">
        <w:rPr>
          <w:rFonts w:ascii="Arial" w:hAnsi="Arial" w:cs="Arial"/>
          <w:b/>
          <w:bCs/>
          <w:color w:val="000000"/>
          <w:sz w:val="22"/>
          <w:szCs w:val="22"/>
        </w:rPr>
        <w:t xml:space="preserve">monitoring, </w:t>
      </w:r>
      <w:r w:rsidRPr="00D23AFB">
        <w:rPr>
          <w:rFonts w:ascii="Arial" w:hAnsi="Arial" w:cs="Arial"/>
          <w:b/>
          <w:bCs/>
          <w:color w:val="000000"/>
          <w:sz w:val="22"/>
          <w:szCs w:val="22"/>
        </w:rPr>
        <w:t>independent auditing, transparency</w:t>
      </w:r>
      <w:r w:rsidR="0051727F" w:rsidRPr="00D23AFB">
        <w:rPr>
          <w:rFonts w:ascii="Arial" w:hAnsi="Arial" w:cs="Arial"/>
          <w:b/>
          <w:bCs/>
          <w:color w:val="000000"/>
          <w:sz w:val="22"/>
          <w:szCs w:val="22"/>
        </w:rPr>
        <w:t>,</w:t>
      </w:r>
      <w:r w:rsidRPr="00D23AFB">
        <w:rPr>
          <w:rFonts w:ascii="Arial" w:hAnsi="Arial" w:cs="Arial"/>
          <w:b/>
          <w:bCs/>
          <w:color w:val="000000"/>
          <w:sz w:val="22"/>
          <w:szCs w:val="22"/>
        </w:rPr>
        <w:t xml:space="preserve"> and accountability</w:t>
      </w:r>
      <w:r w:rsidR="00F503B8" w:rsidRPr="00D23AFB">
        <w:rPr>
          <w:rFonts w:ascii="Arial" w:hAnsi="Arial" w:cs="Arial"/>
          <w:b/>
          <w:bCs/>
          <w:color w:val="000000"/>
          <w:sz w:val="22"/>
          <w:szCs w:val="22"/>
        </w:rPr>
        <w:t xml:space="preserve"> of age assurance systems and processes</w:t>
      </w:r>
      <w:r w:rsidR="0036253E" w:rsidRPr="00D23AFB">
        <w:rPr>
          <w:rFonts w:ascii="Arial" w:hAnsi="Arial" w:cs="Arial"/>
          <w:b/>
          <w:bCs/>
          <w:color w:val="000000"/>
          <w:sz w:val="22"/>
          <w:szCs w:val="22"/>
        </w:rPr>
        <w:t>.</w:t>
      </w:r>
      <w:r w:rsidR="0036253E" w:rsidRPr="00281E98">
        <w:rPr>
          <w:rFonts w:ascii="Arial" w:hAnsi="Arial" w:cs="Arial"/>
          <w:color w:val="000000"/>
          <w:sz w:val="22"/>
          <w:szCs w:val="22"/>
        </w:rPr>
        <w:t xml:space="preserve"> </w:t>
      </w:r>
      <w:r w:rsidRPr="00281E98">
        <w:rPr>
          <w:rFonts w:ascii="Arial" w:hAnsi="Arial" w:cs="Arial"/>
          <w:color w:val="000000"/>
          <w:sz w:val="22"/>
          <w:szCs w:val="22"/>
        </w:rPr>
        <w:t xml:space="preserve">In particular, the Code should prohibit the secondary use of age assurance </w:t>
      </w:r>
      <w:r w:rsidR="0082184F" w:rsidRPr="00281E98">
        <w:rPr>
          <w:rFonts w:ascii="Arial" w:hAnsi="Arial" w:cs="Arial"/>
          <w:color w:val="000000"/>
          <w:sz w:val="22"/>
          <w:szCs w:val="22"/>
        </w:rPr>
        <w:t xml:space="preserve">or any other </w:t>
      </w:r>
      <w:r w:rsidRPr="00281E98">
        <w:rPr>
          <w:rFonts w:ascii="Arial" w:hAnsi="Arial" w:cs="Arial"/>
          <w:color w:val="000000"/>
          <w:sz w:val="22"/>
          <w:szCs w:val="22"/>
        </w:rPr>
        <w:t xml:space="preserve">data </w:t>
      </w:r>
      <w:r w:rsidR="0082184F" w:rsidRPr="00281E98">
        <w:rPr>
          <w:rFonts w:ascii="Arial" w:hAnsi="Arial" w:cs="Arial"/>
          <w:color w:val="000000"/>
          <w:sz w:val="22"/>
          <w:szCs w:val="22"/>
        </w:rPr>
        <w:t>collected for</w:t>
      </w:r>
      <w:r w:rsidRPr="00281E98">
        <w:rPr>
          <w:rFonts w:ascii="Arial" w:hAnsi="Arial" w:cs="Arial"/>
          <w:color w:val="000000"/>
          <w:sz w:val="22"/>
          <w:szCs w:val="22"/>
        </w:rPr>
        <w:t xml:space="preserve"> commercial purposes</w:t>
      </w:r>
      <w:r w:rsidR="0082184F" w:rsidRPr="00281E98">
        <w:rPr>
          <w:rFonts w:ascii="Arial" w:hAnsi="Arial" w:cs="Arial"/>
          <w:color w:val="000000"/>
          <w:sz w:val="22"/>
          <w:szCs w:val="22"/>
        </w:rPr>
        <w:t xml:space="preserve"> as per </w:t>
      </w:r>
      <w:r w:rsidR="00093509" w:rsidRPr="00281E98">
        <w:rPr>
          <w:rFonts w:ascii="Arial" w:hAnsi="Arial" w:cs="Arial"/>
          <w:color w:val="000000"/>
          <w:sz w:val="22"/>
          <w:szCs w:val="22"/>
        </w:rPr>
        <w:t>r</w:t>
      </w:r>
      <w:r w:rsidR="0082184F" w:rsidRPr="00281E98">
        <w:rPr>
          <w:rFonts w:ascii="Arial" w:hAnsi="Arial" w:cs="Arial"/>
          <w:color w:val="000000"/>
          <w:sz w:val="22"/>
          <w:szCs w:val="22"/>
        </w:rPr>
        <w:t xml:space="preserve">ecommendation </w:t>
      </w:r>
      <w:r w:rsidR="00861CB5" w:rsidRPr="00281E98">
        <w:rPr>
          <w:rFonts w:ascii="Arial" w:hAnsi="Arial" w:cs="Arial"/>
          <w:color w:val="000000"/>
          <w:sz w:val="22"/>
          <w:szCs w:val="22"/>
        </w:rPr>
        <w:t>one</w:t>
      </w:r>
      <w:r w:rsidR="0082184F" w:rsidRPr="00281E98">
        <w:rPr>
          <w:rFonts w:ascii="Arial" w:hAnsi="Arial" w:cs="Arial"/>
          <w:color w:val="000000"/>
          <w:sz w:val="22"/>
          <w:szCs w:val="22"/>
        </w:rPr>
        <w:t>.</w:t>
      </w:r>
      <w:r w:rsidR="00C11757" w:rsidRPr="00C11757">
        <w:rPr>
          <w:rFonts w:ascii="Arial" w:hAnsi="Arial" w:cs="Arial"/>
          <w:color w:val="000000"/>
          <w:sz w:val="22"/>
          <w:szCs w:val="22"/>
        </w:rPr>
        <w:t xml:space="preserve"> </w:t>
      </w:r>
      <w:r w:rsidR="00C11757">
        <w:rPr>
          <w:rFonts w:ascii="Arial" w:hAnsi="Arial" w:cs="Arial"/>
          <w:color w:val="000000"/>
          <w:sz w:val="22"/>
          <w:szCs w:val="22"/>
        </w:rPr>
        <w:t>The regulator of the Code needs to be sufficiently authorised and resourced to enforce heavy penalties for non-compliance</w:t>
      </w:r>
      <w:r w:rsidR="00C11757" w:rsidRPr="000954F0">
        <w:rPr>
          <w:rFonts w:ascii="Arial" w:hAnsi="Arial" w:cs="Arial"/>
          <w:color w:val="000000"/>
          <w:sz w:val="22"/>
          <w:szCs w:val="22"/>
        </w:rPr>
        <w:t>.</w:t>
      </w:r>
    </w:p>
    <w:p w14:paraId="14D97EB9" w14:textId="3DE5247D" w:rsidR="00AD2931" w:rsidRPr="000954F0" w:rsidRDefault="007168E7" w:rsidP="000954F0">
      <w:pPr>
        <w:pStyle w:val="Heading1"/>
        <w:rPr>
          <w:rFonts w:ascii="Times New Roman" w:hAnsi="Times New Roman" w:cs="Times New Roman"/>
          <w:sz w:val="24"/>
          <w:szCs w:val="24"/>
        </w:rPr>
      </w:pPr>
      <w:bookmarkStart w:id="31" w:name="_Toc230295217"/>
      <w:bookmarkStart w:id="32" w:name="_Toc230896253"/>
      <w:r>
        <w:lastRenderedPageBreak/>
        <w:t>J</w:t>
      </w:r>
      <w:r w:rsidRPr="00786BAE">
        <w:t>ust-in-</w:t>
      </w:r>
      <w:r w:rsidRPr="00856608">
        <w:t>time</w:t>
      </w:r>
      <w:r w:rsidRPr="00786BAE">
        <w:t xml:space="preserve"> provision of personal information</w:t>
      </w:r>
      <w:bookmarkEnd w:id="31"/>
      <w:bookmarkEnd w:id="32"/>
    </w:p>
    <w:p w14:paraId="39B1D11F" w14:textId="509BFA86" w:rsidR="00376BBF" w:rsidRDefault="00376BBF" w:rsidP="00F43ABC">
      <w:pPr>
        <w:spacing w:before="240" w:after="240" w:line="259" w:lineRule="auto"/>
      </w:pPr>
      <w:r w:rsidRPr="00D475C5">
        <w:rPr>
          <w:b/>
          <w:bCs/>
        </w:rPr>
        <w:t xml:space="preserve">Recommendation: </w:t>
      </w:r>
      <w:r w:rsidR="00577B22">
        <w:rPr>
          <w:b/>
          <w:bCs/>
        </w:rPr>
        <w:t>Require companies to respond promptly and at the point of need to requests about</w:t>
      </w:r>
      <w:r w:rsidR="00577B22" w:rsidRPr="00D475C5">
        <w:rPr>
          <w:b/>
          <w:bCs/>
        </w:rPr>
        <w:t xml:space="preserve"> </w:t>
      </w:r>
      <w:r w:rsidR="00577B22">
        <w:rPr>
          <w:b/>
          <w:bCs/>
        </w:rPr>
        <w:t>how</w:t>
      </w:r>
      <w:r w:rsidR="00577B22" w:rsidRPr="00D475C5">
        <w:rPr>
          <w:b/>
          <w:bCs/>
        </w:rPr>
        <w:t xml:space="preserve"> personal information is handled</w:t>
      </w:r>
      <w:r w:rsidR="00577B22" w:rsidRPr="00D475C5">
        <w:rPr>
          <w:b/>
          <w:bCs/>
          <w:color w:val="000000"/>
        </w:rPr>
        <w:t>.</w:t>
      </w:r>
    </w:p>
    <w:p w14:paraId="1EAD0D66" w14:textId="6E52702B" w:rsidR="00C422B1" w:rsidRPr="00131C41" w:rsidRDefault="16DE31F7" w:rsidP="00A3713A">
      <w:pPr>
        <w:spacing w:before="240" w:after="240" w:line="259" w:lineRule="auto"/>
        <w:rPr>
          <w:color w:val="000000"/>
        </w:rPr>
      </w:pPr>
      <w:r>
        <w:t xml:space="preserve">The Code introduces </w:t>
      </w:r>
      <w:r w:rsidR="0F7D248B">
        <w:t xml:space="preserve">important </w:t>
      </w:r>
      <w:r w:rsidR="02305407">
        <w:t>transparency</w:t>
      </w:r>
      <w:r w:rsidR="1E636B47">
        <w:t xml:space="preserve"> requirements</w:t>
      </w:r>
      <w:r w:rsidR="02305407">
        <w:t xml:space="preserve"> </w:t>
      </w:r>
      <w:r w:rsidR="21C13975">
        <w:t>in how companies deal with children’s</w:t>
      </w:r>
      <w:r w:rsidR="02305407">
        <w:t xml:space="preserve"> personal information (</w:t>
      </w:r>
      <w:r w:rsidR="00353189">
        <w:t>s</w:t>
      </w:r>
      <w:r w:rsidR="02305407">
        <w:t xml:space="preserve">ection </w:t>
      </w:r>
      <w:r w:rsidR="00F141A1">
        <w:t>28</w:t>
      </w:r>
      <w:r w:rsidR="02305407">
        <w:t xml:space="preserve">), including </w:t>
      </w:r>
      <w:r w:rsidR="4554380B">
        <w:t xml:space="preserve">a right </w:t>
      </w:r>
      <w:r w:rsidR="02305407">
        <w:t xml:space="preserve">for children to </w:t>
      </w:r>
      <w:r w:rsidR="75C9D908">
        <w:t>request</w:t>
      </w:r>
      <w:r w:rsidR="02305407">
        <w:t xml:space="preserve"> </w:t>
      </w:r>
      <w:r w:rsidR="75C9D908">
        <w:t xml:space="preserve">information about </w:t>
      </w:r>
      <w:r w:rsidR="25459BE7">
        <w:t xml:space="preserve">the </w:t>
      </w:r>
      <w:r w:rsidR="54FA7597">
        <w:t xml:space="preserve">handling of </w:t>
      </w:r>
      <w:r w:rsidR="75C9D908">
        <w:t xml:space="preserve">their </w:t>
      </w:r>
      <w:r w:rsidR="02305407">
        <w:t>person</w:t>
      </w:r>
      <w:r w:rsidR="2837CE85">
        <w:t>al information</w:t>
      </w:r>
      <w:r w:rsidR="1736DB37">
        <w:t>.</w:t>
      </w:r>
      <w:r w:rsidR="02305407">
        <w:t xml:space="preserve"> </w:t>
      </w:r>
      <w:r w:rsidR="37F64F6E">
        <w:t>One concern is</w:t>
      </w:r>
      <w:r w:rsidR="7C1F241C">
        <w:t xml:space="preserve"> </w:t>
      </w:r>
      <w:r w:rsidR="37F64F6E">
        <w:t>the operation of this feature, particular</w:t>
      </w:r>
      <w:r w:rsidR="1C6E99C6">
        <w:t>l</w:t>
      </w:r>
      <w:r w:rsidR="37F64F6E">
        <w:t>y in terms of t</w:t>
      </w:r>
      <w:r w:rsidR="08156AA4">
        <w:t>imeliness</w:t>
      </w:r>
      <w:r w:rsidR="00376BBF" w:rsidRPr="00A3713A">
        <w:t xml:space="preserve"> of response</w:t>
      </w:r>
      <w:r w:rsidR="2EBE9E41">
        <w:t>.</w:t>
      </w:r>
      <w:r w:rsidR="2DE90F9A">
        <w:t xml:space="preserve"> In the Code, </w:t>
      </w:r>
      <w:r w:rsidR="35AEA810">
        <w:t xml:space="preserve">companies </w:t>
      </w:r>
      <w:r w:rsidR="2DE90F9A">
        <w:t>are given up to 30 days to respond and in certain circumstances, up to 60 days.</w:t>
      </w:r>
      <w:r w:rsidR="2EBE9E41">
        <w:t xml:space="preserve"> </w:t>
      </w:r>
      <w:r w:rsidR="2EBE9E41" w:rsidRPr="00C42EFD">
        <w:rPr>
          <w:b/>
          <w:bCs/>
        </w:rPr>
        <w:t>T</w:t>
      </w:r>
      <w:r w:rsidR="7E29316F" w:rsidRPr="00C42EFD">
        <w:rPr>
          <w:b/>
          <w:bCs/>
        </w:rPr>
        <w:t>imeliness</w:t>
      </w:r>
      <w:r w:rsidR="00376BBF" w:rsidRPr="00C42EFD">
        <w:rPr>
          <w:b/>
          <w:bCs/>
        </w:rPr>
        <w:t xml:space="preserve"> is not just a technical or administrative matter but fundamental to the </w:t>
      </w:r>
      <w:r w:rsidR="000C4DD6" w:rsidRPr="00C42EFD">
        <w:rPr>
          <w:b/>
          <w:bCs/>
        </w:rPr>
        <w:t>effective operation</w:t>
      </w:r>
      <w:r w:rsidR="004F3A10" w:rsidRPr="00C42EFD">
        <w:rPr>
          <w:b/>
          <w:bCs/>
        </w:rPr>
        <w:t xml:space="preserve"> of the service</w:t>
      </w:r>
      <w:r w:rsidR="008666A5" w:rsidRPr="00C42EFD">
        <w:rPr>
          <w:b/>
          <w:bCs/>
        </w:rPr>
        <w:t xml:space="preserve"> and </w:t>
      </w:r>
      <w:r w:rsidR="004F3A10" w:rsidRPr="00C42EFD">
        <w:rPr>
          <w:b/>
          <w:bCs/>
        </w:rPr>
        <w:t xml:space="preserve">its </w:t>
      </w:r>
      <w:r w:rsidR="008666A5" w:rsidRPr="00C42EFD">
        <w:rPr>
          <w:b/>
          <w:bCs/>
        </w:rPr>
        <w:t xml:space="preserve">accessibility </w:t>
      </w:r>
      <w:r w:rsidR="00C21402" w:rsidRPr="00C42EFD">
        <w:rPr>
          <w:b/>
          <w:bCs/>
        </w:rPr>
        <w:t>for</w:t>
      </w:r>
      <w:r w:rsidR="004F3A10" w:rsidRPr="00C42EFD">
        <w:rPr>
          <w:b/>
          <w:bCs/>
        </w:rPr>
        <w:t xml:space="preserve"> </w:t>
      </w:r>
      <w:r w:rsidR="00376BBF" w:rsidRPr="00C42EFD">
        <w:rPr>
          <w:b/>
          <w:bCs/>
        </w:rPr>
        <w:t>children</w:t>
      </w:r>
      <w:r w:rsidR="00C21402" w:rsidRPr="00C42EFD">
        <w:rPr>
          <w:b/>
          <w:bCs/>
        </w:rPr>
        <w:t xml:space="preserve"> and young people</w:t>
      </w:r>
      <w:r w:rsidR="00376BBF" w:rsidRPr="00C42EFD">
        <w:rPr>
          <w:b/>
          <w:bCs/>
        </w:rPr>
        <w:t>.</w:t>
      </w:r>
      <w:r w:rsidR="00376BBF" w:rsidRPr="00A3713A">
        <w:t xml:space="preserve"> </w:t>
      </w:r>
      <w:r w:rsidR="00306C08" w:rsidRPr="00A3713A">
        <w:t>D</w:t>
      </w:r>
      <w:r w:rsidR="00376BBF" w:rsidRPr="00A3713A">
        <w:t>elay</w:t>
      </w:r>
      <w:r w:rsidR="00306C08" w:rsidRPr="00A3713A">
        <w:t>s</w:t>
      </w:r>
      <w:r w:rsidR="00376BBF" w:rsidRPr="00A3713A">
        <w:t xml:space="preserve"> of up to 30, and in some cases, 60 days to receive an answer from a company </w:t>
      </w:r>
      <w:r w:rsidR="00735724" w:rsidRPr="00A3713A">
        <w:t>substantially</w:t>
      </w:r>
      <w:r w:rsidR="00376BBF" w:rsidRPr="00A3713A">
        <w:t xml:space="preserve"> </w:t>
      </w:r>
      <w:r w:rsidR="00735724" w:rsidRPr="00A3713A">
        <w:t>undermine</w:t>
      </w:r>
      <w:r w:rsidR="00376BBF" w:rsidRPr="00A3713A">
        <w:t xml:space="preserve"> the </w:t>
      </w:r>
      <w:r w:rsidR="00306C08" w:rsidRPr="00A3713A">
        <w:t xml:space="preserve">practical </w:t>
      </w:r>
      <w:r w:rsidR="00376BBF" w:rsidRPr="00A3713A">
        <w:t xml:space="preserve">value of this right. </w:t>
      </w:r>
      <w:r w:rsidR="00C422B1" w:rsidRPr="00131C41">
        <w:rPr>
          <w:color w:val="000000" w:themeColor="text1"/>
        </w:rPr>
        <w:t>For children, whose digital practices, social relationships and online environments can change rapidly, delayed access to information may mean that the information is no longer relevant, actionable, or meaningful by the time it is received. This is particularly significant where children are attempting to understand how their personal information is being used, contest harmful profiling or recommendations, address experiences of online harm, or make informed decisions about continuing to use a service.</w:t>
      </w:r>
    </w:p>
    <w:p w14:paraId="15558C2B" w14:textId="5DADB887" w:rsidR="00651D8F" w:rsidRPr="00131C41" w:rsidRDefault="00651D8F" w:rsidP="00131C41">
      <w:pPr>
        <w:pStyle w:val="NormalWeb"/>
        <w:spacing w:line="259" w:lineRule="auto"/>
        <w:rPr>
          <w:rFonts w:ascii="Arial" w:hAnsi="Arial" w:cs="Arial"/>
          <w:color w:val="000000"/>
          <w:sz w:val="22"/>
          <w:szCs w:val="22"/>
        </w:rPr>
      </w:pPr>
      <w:r w:rsidRPr="00131C41">
        <w:rPr>
          <w:rFonts w:ascii="Arial" w:hAnsi="Arial" w:cs="Arial"/>
          <w:color w:val="000000" w:themeColor="text1"/>
          <w:sz w:val="22"/>
          <w:szCs w:val="22"/>
        </w:rPr>
        <w:t>Timeliness is also critical because children and adolescents are still developing the digital literacies and capacities required to navigate complex privacy and data systems. Long waiting periods create additional barriers to engagement, reduce trust in complaint and transparency mechanisms, and may discourage children from exercising their rights altogether. Delayed responses can also exacerbate harms where personal information is being actively used to shape content feeds, recommendations, advertising, or interactions in real time. In these contexts, access to information months after a request has little practical utility, particularly where the data practices in question may already have influenced a child</w:t>
      </w:r>
      <w:r w:rsidR="005E76ED" w:rsidRPr="00A3713A">
        <w:rPr>
          <w:rFonts w:ascii="Arial" w:hAnsi="Arial" w:cs="Arial"/>
          <w:color w:val="000000" w:themeColor="text1"/>
          <w:sz w:val="22"/>
          <w:szCs w:val="22"/>
        </w:rPr>
        <w:t>’</w:t>
      </w:r>
      <w:r w:rsidRPr="00131C41">
        <w:rPr>
          <w:rFonts w:ascii="Arial" w:hAnsi="Arial" w:cs="Arial"/>
          <w:color w:val="000000" w:themeColor="text1"/>
          <w:sz w:val="22"/>
          <w:szCs w:val="22"/>
        </w:rPr>
        <w:t>s behaviour, wellbeing, or opportunities.</w:t>
      </w:r>
    </w:p>
    <w:p w14:paraId="0DEEFB8E" w14:textId="1A914F5F" w:rsidR="00651D8F" w:rsidRPr="00131C41" w:rsidRDefault="00651D8F" w:rsidP="00131C41">
      <w:pPr>
        <w:pStyle w:val="NormalWeb"/>
        <w:spacing w:line="259" w:lineRule="auto"/>
        <w:rPr>
          <w:rFonts w:ascii="Arial" w:hAnsi="Arial" w:cs="Arial"/>
          <w:color w:val="000000"/>
          <w:sz w:val="22"/>
          <w:szCs w:val="22"/>
        </w:rPr>
      </w:pPr>
      <w:r w:rsidRPr="00131C41">
        <w:rPr>
          <w:rFonts w:ascii="Arial" w:hAnsi="Arial" w:cs="Arial"/>
          <w:color w:val="000000" w:themeColor="text1"/>
          <w:sz w:val="22"/>
          <w:szCs w:val="22"/>
        </w:rPr>
        <w:t>The</w:t>
      </w:r>
      <w:r w:rsidRPr="00131C41">
        <w:rPr>
          <w:rStyle w:val="apple-converted-space"/>
          <w:rFonts w:ascii="Arial" w:hAnsi="Arial" w:cs="Arial"/>
          <w:color w:val="000000" w:themeColor="text1"/>
          <w:sz w:val="22"/>
          <w:szCs w:val="22"/>
        </w:rPr>
        <w:t> </w:t>
      </w:r>
      <w:r w:rsidRPr="00131C41">
        <w:rPr>
          <w:rStyle w:val="whitespace-normal"/>
          <w:rFonts w:ascii="Arial" w:hAnsi="Arial" w:cs="Arial"/>
          <w:color w:val="000000" w:themeColor="text1"/>
          <w:sz w:val="22"/>
          <w:szCs w:val="22"/>
        </w:rPr>
        <w:t>Office of the Australian Information Commissioner</w:t>
      </w:r>
      <w:r w:rsidRPr="00131C41">
        <w:rPr>
          <w:rStyle w:val="apple-converted-space"/>
          <w:rFonts w:ascii="Arial" w:hAnsi="Arial" w:cs="Arial"/>
          <w:color w:val="000000" w:themeColor="text1"/>
          <w:sz w:val="22"/>
          <w:szCs w:val="22"/>
        </w:rPr>
        <w:t> </w:t>
      </w:r>
      <w:r w:rsidR="21F5FC27" w:rsidRPr="00A3713A">
        <w:rPr>
          <w:rStyle w:val="apple-converted-space"/>
          <w:rFonts w:ascii="Arial" w:hAnsi="Arial" w:cs="Arial"/>
          <w:color w:val="000000" w:themeColor="text1"/>
          <w:sz w:val="22"/>
          <w:szCs w:val="22"/>
        </w:rPr>
        <w:t xml:space="preserve">(OAIC) </w:t>
      </w:r>
      <w:r w:rsidRPr="00131C41">
        <w:rPr>
          <w:rFonts w:ascii="Arial" w:hAnsi="Arial" w:cs="Arial"/>
          <w:color w:val="000000" w:themeColor="text1"/>
          <w:sz w:val="22"/>
          <w:szCs w:val="22"/>
        </w:rPr>
        <w:t xml:space="preserve">recognises punctuality as a key component of meaningful transparency. In its guidance on age assurance technologies, the OAIC identifies as a core consideration the need to </w:t>
      </w:r>
      <w:r w:rsidR="005E76ED" w:rsidRPr="00A3713A">
        <w:rPr>
          <w:rFonts w:ascii="Arial" w:hAnsi="Arial" w:cs="Arial"/>
          <w:color w:val="000000" w:themeColor="text1"/>
          <w:sz w:val="22"/>
          <w:szCs w:val="22"/>
        </w:rPr>
        <w:t>“</w:t>
      </w:r>
      <w:r w:rsidRPr="00131C41">
        <w:rPr>
          <w:rFonts w:ascii="Arial" w:hAnsi="Arial" w:cs="Arial"/>
          <w:color w:val="000000" w:themeColor="text1"/>
          <w:sz w:val="22"/>
          <w:szCs w:val="22"/>
        </w:rPr>
        <w:t>Be transparent, at the moment it matters</w:t>
      </w:r>
      <w:r w:rsidR="005E76ED" w:rsidRPr="00A3713A">
        <w:rPr>
          <w:rFonts w:ascii="Arial" w:hAnsi="Arial" w:cs="Arial"/>
          <w:color w:val="000000" w:themeColor="text1"/>
          <w:sz w:val="22"/>
          <w:szCs w:val="22"/>
        </w:rPr>
        <w:t>”</w:t>
      </w:r>
      <w:r w:rsidR="00C2596A" w:rsidRPr="00A3713A">
        <w:rPr>
          <w:rFonts w:ascii="Arial" w:hAnsi="Arial" w:cs="Arial"/>
          <w:color w:val="000000" w:themeColor="text1"/>
          <w:sz w:val="22"/>
          <w:szCs w:val="22"/>
        </w:rPr>
        <w:t>,</w:t>
      </w:r>
      <w:r w:rsidRPr="00131C41">
        <w:rPr>
          <w:rFonts w:ascii="Arial" w:hAnsi="Arial" w:cs="Arial"/>
          <w:color w:val="000000" w:themeColor="text1"/>
          <w:sz w:val="22"/>
          <w:szCs w:val="22"/>
        </w:rPr>
        <w:t xml:space="preserve"> recommending the use of APP 5 just-in-time notices to explain what information is collected, why it is collected, who it is shared with, how long it is retained, and the choices available to individuals, including review processes. This emphasis on contextual and timely disclosure reflects the reality that transparency is only effective when information is provided at a point where </w:t>
      </w:r>
      <w:r w:rsidR="170ABD88" w:rsidRPr="00A3713A">
        <w:rPr>
          <w:rFonts w:ascii="Arial" w:hAnsi="Arial" w:cs="Arial"/>
          <w:color w:val="000000" w:themeColor="text1"/>
          <w:sz w:val="22"/>
          <w:szCs w:val="22"/>
        </w:rPr>
        <w:t>users</w:t>
      </w:r>
      <w:r w:rsidRPr="00131C41">
        <w:rPr>
          <w:rFonts w:ascii="Arial" w:hAnsi="Arial" w:cs="Arial"/>
          <w:color w:val="000000" w:themeColor="text1"/>
          <w:sz w:val="22"/>
          <w:szCs w:val="22"/>
        </w:rPr>
        <w:t xml:space="preserve">, including children, </w:t>
      </w:r>
      <w:proofErr w:type="gramStart"/>
      <w:r w:rsidRPr="00131C41">
        <w:rPr>
          <w:rFonts w:ascii="Arial" w:hAnsi="Arial" w:cs="Arial"/>
          <w:color w:val="000000" w:themeColor="text1"/>
          <w:sz w:val="22"/>
          <w:szCs w:val="22"/>
        </w:rPr>
        <w:t>are able to</w:t>
      </w:r>
      <w:proofErr w:type="gramEnd"/>
      <w:r w:rsidRPr="00131C41">
        <w:rPr>
          <w:rFonts w:ascii="Arial" w:hAnsi="Arial" w:cs="Arial"/>
          <w:color w:val="000000" w:themeColor="text1"/>
          <w:sz w:val="22"/>
          <w:szCs w:val="22"/>
        </w:rPr>
        <w:t xml:space="preserve"> understand and act upon it.</w:t>
      </w:r>
    </w:p>
    <w:p w14:paraId="768B4C2F" w14:textId="4005C59F" w:rsidR="005010B8" w:rsidRPr="006512ED" w:rsidRDefault="00651D8F" w:rsidP="00131C41">
      <w:pPr>
        <w:pStyle w:val="NormalWeb"/>
        <w:spacing w:line="259" w:lineRule="auto"/>
        <w:rPr>
          <w:b/>
          <w:bCs/>
        </w:rPr>
      </w:pPr>
      <w:r w:rsidRPr="006512ED">
        <w:rPr>
          <w:rFonts w:ascii="Arial" w:eastAsia="Arial" w:hAnsi="Arial" w:cs="Arial"/>
          <w:b/>
          <w:bCs/>
          <w:color w:val="000000" w:themeColor="text1"/>
          <w:sz w:val="22"/>
          <w:szCs w:val="22"/>
        </w:rPr>
        <w:t>Accordingly, the just-in-time provision of personal information held about a child should be treated as a standard expectation and explicitly incorporated into the Code.</w:t>
      </w:r>
    </w:p>
    <w:p w14:paraId="40BF81E1" w14:textId="4E77A3BB" w:rsidR="00E74211" w:rsidRDefault="00E74211" w:rsidP="00131C41">
      <w:pPr>
        <w:pStyle w:val="Heading1"/>
      </w:pPr>
      <w:bookmarkStart w:id="33" w:name="_Toc230295218"/>
      <w:bookmarkStart w:id="34" w:name="_Toc230896254"/>
      <w:r>
        <w:t>Definition matters</w:t>
      </w:r>
      <w:bookmarkEnd w:id="33"/>
      <w:bookmarkEnd w:id="34"/>
    </w:p>
    <w:p w14:paraId="6D835C6F" w14:textId="1FEF9959" w:rsidR="00214960" w:rsidRPr="00131C41" w:rsidRDefault="005010B8" w:rsidP="4CB4B2B0">
      <w:pPr>
        <w:spacing w:before="240" w:after="240" w:line="259" w:lineRule="auto"/>
        <w:rPr>
          <w:b/>
          <w:bCs/>
          <w:color w:val="0A0A0A"/>
        </w:rPr>
      </w:pPr>
      <w:r w:rsidRPr="00131C41">
        <w:rPr>
          <w:b/>
          <w:bCs/>
          <w:color w:val="0A0A0A"/>
        </w:rPr>
        <w:t>Recommendation:</w:t>
      </w:r>
      <w:r w:rsidR="000B6659" w:rsidRPr="00131C41">
        <w:rPr>
          <w:b/>
          <w:bCs/>
          <w:color w:val="0A0A0A"/>
        </w:rPr>
        <w:t xml:space="preserve"> </w:t>
      </w:r>
      <w:r w:rsidR="00A3713A" w:rsidRPr="00E970EA">
        <w:rPr>
          <w:b/>
          <w:bCs/>
          <w:color w:val="0A0A0A"/>
        </w:rPr>
        <w:t>Ensure definitions are fit for purpose and flexible to address the wide range of service types, configurations and rapid technological innovation, and remove the exception for</w:t>
      </w:r>
      <w:r w:rsidR="00A3713A" w:rsidRPr="00E970EA">
        <w:rPr>
          <w:b/>
          <w:bCs/>
          <w:color w:val="000000"/>
        </w:rPr>
        <w:t xml:space="preserve"> health services.</w:t>
      </w:r>
    </w:p>
    <w:p w14:paraId="0ABBA420" w14:textId="7981E217" w:rsidR="0051256A" w:rsidRPr="00131C41" w:rsidRDefault="00214960" w:rsidP="00131C41">
      <w:pPr>
        <w:pStyle w:val="NormalWeb"/>
        <w:spacing w:before="240" w:beforeAutospacing="0" w:after="240" w:afterAutospacing="0" w:line="259" w:lineRule="auto"/>
        <w:rPr>
          <w:rFonts w:ascii="Arial" w:hAnsi="Arial" w:cs="Arial"/>
          <w:color w:val="000000"/>
          <w:sz w:val="22"/>
          <w:szCs w:val="22"/>
        </w:rPr>
      </w:pPr>
      <w:r w:rsidRPr="00131C41">
        <w:rPr>
          <w:rFonts w:ascii="Arial" w:hAnsi="Arial" w:cs="Arial"/>
          <w:color w:val="0A0A0A"/>
          <w:sz w:val="22"/>
          <w:szCs w:val="22"/>
        </w:rPr>
        <w:t>T</w:t>
      </w:r>
      <w:r w:rsidR="005010B8" w:rsidRPr="00131C41">
        <w:rPr>
          <w:rFonts w:ascii="Arial" w:hAnsi="Arial" w:cs="Arial"/>
          <w:color w:val="0A0A0A"/>
          <w:sz w:val="22"/>
          <w:szCs w:val="22"/>
        </w:rPr>
        <w:t>he definition</w:t>
      </w:r>
      <w:r w:rsidR="00CA56C4" w:rsidRPr="00131C41">
        <w:rPr>
          <w:rFonts w:ascii="Arial" w:hAnsi="Arial" w:cs="Arial"/>
          <w:color w:val="0A0A0A"/>
          <w:sz w:val="22"/>
          <w:szCs w:val="22"/>
        </w:rPr>
        <w:t>s</w:t>
      </w:r>
      <w:r w:rsidR="005010B8" w:rsidRPr="00131C41">
        <w:rPr>
          <w:rFonts w:ascii="Arial" w:hAnsi="Arial" w:cs="Arial"/>
          <w:color w:val="0A0A0A"/>
          <w:sz w:val="22"/>
          <w:szCs w:val="22"/>
        </w:rPr>
        <w:t xml:space="preserve"> of </w:t>
      </w:r>
      <w:r w:rsidR="007951F1" w:rsidRPr="00131C41">
        <w:rPr>
          <w:rFonts w:ascii="Arial" w:hAnsi="Arial" w:cs="Arial"/>
          <w:color w:val="0A0A0A"/>
          <w:sz w:val="22"/>
          <w:szCs w:val="22"/>
        </w:rPr>
        <w:t>entities</w:t>
      </w:r>
      <w:r w:rsidR="005010B8" w:rsidRPr="00131C41">
        <w:rPr>
          <w:rFonts w:ascii="Arial" w:hAnsi="Arial" w:cs="Arial"/>
          <w:color w:val="0A0A0A"/>
          <w:sz w:val="22"/>
          <w:szCs w:val="22"/>
        </w:rPr>
        <w:t xml:space="preserve"> </w:t>
      </w:r>
      <w:r w:rsidR="00E25926" w:rsidRPr="00131C41">
        <w:rPr>
          <w:rFonts w:ascii="Arial" w:hAnsi="Arial" w:cs="Arial"/>
          <w:color w:val="0A0A0A"/>
          <w:sz w:val="22"/>
          <w:szCs w:val="22"/>
        </w:rPr>
        <w:t>captured</w:t>
      </w:r>
      <w:r w:rsidR="005010B8" w:rsidRPr="00131C41">
        <w:rPr>
          <w:rFonts w:ascii="Arial" w:hAnsi="Arial" w:cs="Arial"/>
          <w:color w:val="0A0A0A"/>
          <w:sz w:val="22"/>
          <w:szCs w:val="22"/>
        </w:rPr>
        <w:t xml:space="preserve"> under the Code</w:t>
      </w:r>
      <w:r w:rsidR="42D2DF2A" w:rsidRPr="71B16DE9">
        <w:rPr>
          <w:rFonts w:ascii="Arial" w:hAnsi="Arial" w:cs="Arial"/>
          <w:color w:val="0A0A0A"/>
          <w:sz w:val="22"/>
          <w:szCs w:val="22"/>
        </w:rPr>
        <w:t xml:space="preserve"> (</w:t>
      </w:r>
      <w:r w:rsidR="7FB23786">
        <w:rPr>
          <w:rFonts w:ascii="Arial" w:hAnsi="Arial" w:cs="Arial"/>
          <w:color w:val="0A0A0A"/>
          <w:sz w:val="22"/>
          <w:szCs w:val="22"/>
        </w:rPr>
        <w:t>s</w:t>
      </w:r>
      <w:r w:rsidR="42D2DF2A" w:rsidRPr="71B16DE9">
        <w:rPr>
          <w:rFonts w:ascii="Arial" w:hAnsi="Arial" w:cs="Arial"/>
          <w:color w:val="0A0A0A"/>
          <w:sz w:val="22"/>
          <w:szCs w:val="22"/>
        </w:rPr>
        <w:t>ection 4)</w:t>
      </w:r>
      <w:r w:rsidR="46FBE058" w:rsidRPr="00131C41">
        <w:rPr>
          <w:rFonts w:ascii="Arial" w:hAnsi="Arial" w:cs="Arial"/>
          <w:color w:val="0A0A0A"/>
          <w:sz w:val="22"/>
          <w:szCs w:val="22"/>
        </w:rPr>
        <w:t>,</w:t>
      </w:r>
      <w:r w:rsidR="002E6F75" w:rsidRPr="00131C41">
        <w:rPr>
          <w:rFonts w:ascii="Arial" w:hAnsi="Arial" w:cs="Arial"/>
          <w:color w:val="0A0A0A"/>
          <w:sz w:val="22"/>
          <w:szCs w:val="22"/>
        </w:rPr>
        <w:t xml:space="preserve"> while </w:t>
      </w:r>
      <w:r w:rsidR="00E25926" w:rsidRPr="00131C41">
        <w:rPr>
          <w:rFonts w:ascii="Arial" w:hAnsi="Arial" w:cs="Arial"/>
          <w:color w:val="0A0A0A"/>
          <w:sz w:val="22"/>
          <w:szCs w:val="22"/>
        </w:rPr>
        <w:t>broadly</w:t>
      </w:r>
      <w:r w:rsidR="008F0D3E" w:rsidRPr="00131C41">
        <w:rPr>
          <w:rFonts w:ascii="Arial" w:hAnsi="Arial" w:cs="Arial"/>
          <w:color w:val="0A0A0A"/>
          <w:sz w:val="22"/>
          <w:szCs w:val="22"/>
        </w:rPr>
        <w:t xml:space="preserve"> </w:t>
      </w:r>
      <w:r w:rsidR="002E6F75" w:rsidRPr="00131C41">
        <w:rPr>
          <w:rFonts w:ascii="Arial" w:hAnsi="Arial" w:cs="Arial"/>
          <w:color w:val="0A0A0A"/>
          <w:sz w:val="22"/>
          <w:szCs w:val="22"/>
        </w:rPr>
        <w:t xml:space="preserve">aligned </w:t>
      </w:r>
      <w:r w:rsidR="00E25926" w:rsidRPr="00131C41">
        <w:rPr>
          <w:rFonts w:ascii="Arial" w:hAnsi="Arial" w:cs="Arial"/>
          <w:color w:val="0A0A0A"/>
          <w:sz w:val="22"/>
          <w:szCs w:val="22"/>
        </w:rPr>
        <w:t>with those</w:t>
      </w:r>
      <w:r w:rsidR="002E6F75" w:rsidRPr="00131C41">
        <w:rPr>
          <w:rFonts w:ascii="Arial" w:hAnsi="Arial" w:cs="Arial"/>
          <w:color w:val="0A0A0A"/>
          <w:sz w:val="22"/>
          <w:szCs w:val="22"/>
        </w:rPr>
        <w:t xml:space="preserve"> </w:t>
      </w:r>
      <w:r w:rsidR="009B0121" w:rsidRPr="00131C41">
        <w:rPr>
          <w:rFonts w:ascii="Arial" w:hAnsi="Arial" w:cs="Arial"/>
          <w:color w:val="0A0A0A"/>
          <w:sz w:val="22"/>
          <w:szCs w:val="22"/>
        </w:rPr>
        <w:t xml:space="preserve">contained </w:t>
      </w:r>
      <w:r w:rsidR="008F0D3E" w:rsidRPr="00131C41">
        <w:rPr>
          <w:rFonts w:ascii="Arial" w:hAnsi="Arial" w:cs="Arial"/>
          <w:color w:val="0A0A0A"/>
          <w:sz w:val="22"/>
          <w:szCs w:val="22"/>
        </w:rPr>
        <w:t xml:space="preserve">in the </w:t>
      </w:r>
      <w:r w:rsidR="008F0D3E" w:rsidRPr="00131C41">
        <w:rPr>
          <w:rFonts w:ascii="Arial" w:hAnsi="Arial" w:cs="Arial"/>
          <w:i/>
          <w:iCs/>
          <w:color w:val="0A0A0A"/>
          <w:sz w:val="22"/>
          <w:szCs w:val="22"/>
        </w:rPr>
        <w:t>Online Safety Act (2021)</w:t>
      </w:r>
      <w:r w:rsidRPr="00131C41">
        <w:rPr>
          <w:rFonts w:ascii="Arial" w:hAnsi="Arial" w:cs="Arial"/>
          <w:color w:val="0A0A0A"/>
          <w:sz w:val="22"/>
          <w:szCs w:val="22"/>
        </w:rPr>
        <w:t xml:space="preserve">, </w:t>
      </w:r>
      <w:r w:rsidR="00DD0517" w:rsidRPr="00131C41">
        <w:rPr>
          <w:rFonts w:ascii="Arial" w:hAnsi="Arial" w:cs="Arial"/>
          <w:color w:val="0A0A0A"/>
          <w:sz w:val="22"/>
          <w:szCs w:val="22"/>
        </w:rPr>
        <w:t>are not</w:t>
      </w:r>
      <w:r w:rsidR="009B0121" w:rsidRPr="00131C41">
        <w:rPr>
          <w:rFonts w:ascii="Arial" w:hAnsi="Arial" w:cs="Arial"/>
          <w:color w:val="0A0A0A"/>
          <w:sz w:val="22"/>
          <w:szCs w:val="22"/>
        </w:rPr>
        <w:t xml:space="preserve"> sufficiently</w:t>
      </w:r>
      <w:r w:rsidR="00DD0517" w:rsidRPr="00131C41">
        <w:rPr>
          <w:rFonts w:ascii="Arial" w:hAnsi="Arial" w:cs="Arial"/>
          <w:color w:val="0A0A0A"/>
          <w:sz w:val="22"/>
          <w:szCs w:val="22"/>
        </w:rPr>
        <w:t xml:space="preserve"> fit for purpose</w:t>
      </w:r>
      <w:r w:rsidR="00362D70" w:rsidRPr="00131C41">
        <w:rPr>
          <w:rFonts w:ascii="Arial" w:hAnsi="Arial" w:cs="Arial"/>
          <w:color w:val="0A0A0A"/>
          <w:sz w:val="22"/>
          <w:szCs w:val="22"/>
        </w:rPr>
        <w:t xml:space="preserve">. In </w:t>
      </w:r>
      <w:r w:rsidR="00362D70" w:rsidRPr="00131C41">
        <w:rPr>
          <w:rFonts w:ascii="Arial" w:hAnsi="Arial" w:cs="Arial"/>
          <w:color w:val="0A0A0A"/>
          <w:sz w:val="22"/>
          <w:szCs w:val="22"/>
        </w:rPr>
        <w:lastRenderedPageBreak/>
        <w:t xml:space="preserve">practice </w:t>
      </w:r>
      <w:r w:rsidR="00C70FF6">
        <w:rPr>
          <w:rFonts w:ascii="Arial" w:hAnsi="Arial" w:cs="Arial"/>
          <w:color w:val="0A0A0A"/>
          <w:sz w:val="22"/>
          <w:szCs w:val="22"/>
        </w:rPr>
        <w:t xml:space="preserve">they require </w:t>
      </w:r>
      <w:r w:rsidR="00FE3A3F" w:rsidRPr="00131C41">
        <w:rPr>
          <w:rFonts w:ascii="Arial" w:hAnsi="Arial" w:cs="Arial"/>
          <w:color w:val="0A0A0A"/>
          <w:sz w:val="22"/>
          <w:szCs w:val="22"/>
        </w:rPr>
        <w:t xml:space="preserve">more specificity and </w:t>
      </w:r>
      <w:r w:rsidR="005225C6" w:rsidRPr="00131C41">
        <w:rPr>
          <w:rFonts w:ascii="Arial" w:hAnsi="Arial" w:cs="Arial"/>
          <w:color w:val="0A0A0A"/>
          <w:sz w:val="22"/>
          <w:szCs w:val="22"/>
        </w:rPr>
        <w:t>flexibility to allow</w:t>
      </w:r>
      <w:r w:rsidR="00B96A8C" w:rsidRPr="00131C41">
        <w:rPr>
          <w:rFonts w:ascii="Arial" w:hAnsi="Arial" w:cs="Arial"/>
          <w:color w:val="0A0A0A"/>
          <w:sz w:val="22"/>
          <w:szCs w:val="22"/>
        </w:rPr>
        <w:t xml:space="preserve"> for </w:t>
      </w:r>
      <w:r w:rsidR="005225C6" w:rsidRPr="00131C41">
        <w:rPr>
          <w:rFonts w:ascii="Arial" w:hAnsi="Arial" w:cs="Arial"/>
          <w:color w:val="0A0A0A"/>
          <w:sz w:val="22"/>
          <w:szCs w:val="22"/>
        </w:rPr>
        <w:t>the diverse range</w:t>
      </w:r>
      <w:r w:rsidR="00B96A8C" w:rsidRPr="00131C41">
        <w:rPr>
          <w:rFonts w:ascii="Arial" w:hAnsi="Arial" w:cs="Arial"/>
          <w:color w:val="0A0A0A"/>
          <w:sz w:val="22"/>
          <w:szCs w:val="22"/>
        </w:rPr>
        <w:t xml:space="preserve"> of </w:t>
      </w:r>
      <w:r w:rsidR="00E9707B" w:rsidRPr="00131C41">
        <w:rPr>
          <w:rFonts w:ascii="Arial" w:hAnsi="Arial" w:cs="Arial"/>
          <w:color w:val="0A0A0A"/>
          <w:sz w:val="22"/>
          <w:szCs w:val="22"/>
        </w:rPr>
        <w:t xml:space="preserve">social media </w:t>
      </w:r>
      <w:r w:rsidR="00A30B62" w:rsidRPr="00131C41">
        <w:rPr>
          <w:rFonts w:ascii="Arial" w:hAnsi="Arial" w:cs="Arial"/>
          <w:color w:val="0A0A0A"/>
          <w:sz w:val="22"/>
          <w:szCs w:val="22"/>
        </w:rPr>
        <w:t xml:space="preserve">services </w:t>
      </w:r>
      <w:r w:rsidR="008B54DE" w:rsidRPr="00131C41">
        <w:rPr>
          <w:rFonts w:ascii="Arial" w:hAnsi="Arial" w:cs="Arial"/>
          <w:color w:val="0A0A0A"/>
          <w:sz w:val="22"/>
          <w:szCs w:val="22"/>
        </w:rPr>
        <w:t>and</w:t>
      </w:r>
      <w:r w:rsidR="001751B5" w:rsidRPr="00131C41">
        <w:rPr>
          <w:rFonts w:ascii="Arial" w:hAnsi="Arial" w:cs="Arial"/>
          <w:color w:val="0A0A0A"/>
          <w:sz w:val="22"/>
          <w:szCs w:val="22"/>
        </w:rPr>
        <w:t xml:space="preserve"> </w:t>
      </w:r>
      <w:r w:rsidR="00A30B62" w:rsidRPr="00131C41">
        <w:rPr>
          <w:rFonts w:ascii="Arial" w:hAnsi="Arial" w:cs="Arial"/>
          <w:color w:val="0A0A0A"/>
          <w:sz w:val="22"/>
          <w:szCs w:val="22"/>
        </w:rPr>
        <w:t xml:space="preserve">services </w:t>
      </w:r>
      <w:r w:rsidR="008B54DE" w:rsidRPr="00131C41">
        <w:rPr>
          <w:rFonts w:ascii="Arial" w:hAnsi="Arial" w:cs="Arial"/>
          <w:color w:val="0A0A0A"/>
          <w:sz w:val="22"/>
          <w:szCs w:val="22"/>
        </w:rPr>
        <w:t>that incorporate</w:t>
      </w:r>
      <w:r w:rsidR="00A30B62" w:rsidRPr="00131C41">
        <w:rPr>
          <w:rFonts w:ascii="Arial" w:hAnsi="Arial" w:cs="Arial"/>
          <w:color w:val="0A0A0A"/>
          <w:sz w:val="22"/>
          <w:szCs w:val="22"/>
        </w:rPr>
        <w:t xml:space="preserve"> social media-like </w:t>
      </w:r>
      <w:r w:rsidR="00374DB7" w:rsidRPr="00131C41">
        <w:rPr>
          <w:rFonts w:ascii="Arial" w:hAnsi="Arial" w:cs="Arial"/>
          <w:color w:val="0A0A0A"/>
          <w:sz w:val="22"/>
          <w:szCs w:val="22"/>
        </w:rPr>
        <w:t>functionalities</w:t>
      </w:r>
      <w:r w:rsidR="00A30B62" w:rsidRPr="00131C41">
        <w:rPr>
          <w:rFonts w:ascii="Arial" w:hAnsi="Arial" w:cs="Arial"/>
          <w:color w:val="0A0A0A"/>
          <w:sz w:val="22"/>
          <w:szCs w:val="22"/>
        </w:rPr>
        <w:t xml:space="preserve">. </w:t>
      </w:r>
      <w:r w:rsidR="003936E8" w:rsidRPr="00131C41">
        <w:rPr>
          <w:rFonts w:ascii="Arial" w:hAnsi="Arial" w:cs="Arial"/>
          <w:color w:val="0A0A0A"/>
          <w:sz w:val="22"/>
          <w:szCs w:val="22"/>
        </w:rPr>
        <w:t xml:space="preserve">Rather than </w:t>
      </w:r>
      <w:r w:rsidR="00ED5CB9" w:rsidRPr="00131C41">
        <w:rPr>
          <w:rFonts w:ascii="Arial" w:hAnsi="Arial" w:cs="Arial"/>
          <w:color w:val="0A0A0A"/>
          <w:sz w:val="22"/>
          <w:szCs w:val="22"/>
        </w:rPr>
        <w:t xml:space="preserve">rely entirely on </w:t>
      </w:r>
      <w:r w:rsidR="003D4196" w:rsidRPr="00131C41">
        <w:rPr>
          <w:rFonts w:ascii="Arial" w:hAnsi="Arial" w:cs="Arial"/>
          <w:color w:val="0A0A0A"/>
          <w:sz w:val="22"/>
          <w:szCs w:val="22"/>
        </w:rPr>
        <w:t xml:space="preserve">broad </w:t>
      </w:r>
      <w:r w:rsidR="00856F9F" w:rsidRPr="00131C41">
        <w:rPr>
          <w:rFonts w:ascii="Arial" w:hAnsi="Arial" w:cs="Arial"/>
          <w:color w:val="0A0A0A"/>
          <w:sz w:val="22"/>
          <w:szCs w:val="22"/>
        </w:rPr>
        <w:t xml:space="preserve">category labels such as </w:t>
      </w:r>
      <w:r w:rsidR="005E76ED">
        <w:rPr>
          <w:rFonts w:ascii="Arial" w:hAnsi="Arial" w:cs="Arial"/>
          <w:color w:val="0A0A0A"/>
          <w:sz w:val="22"/>
          <w:szCs w:val="22"/>
        </w:rPr>
        <w:t>“</w:t>
      </w:r>
      <w:r w:rsidR="0069704F" w:rsidRPr="00131C41">
        <w:rPr>
          <w:rFonts w:ascii="Arial" w:hAnsi="Arial" w:cs="Arial"/>
          <w:color w:val="0A0A0A"/>
          <w:sz w:val="22"/>
          <w:szCs w:val="22"/>
        </w:rPr>
        <w:t>social media</w:t>
      </w:r>
      <w:r w:rsidR="005E76ED">
        <w:rPr>
          <w:rFonts w:ascii="Arial" w:hAnsi="Arial" w:cs="Arial"/>
          <w:color w:val="0A0A0A"/>
          <w:sz w:val="22"/>
          <w:szCs w:val="22"/>
        </w:rPr>
        <w:t>”</w:t>
      </w:r>
      <w:r w:rsidR="0069704F" w:rsidRPr="00131C41">
        <w:rPr>
          <w:rFonts w:ascii="Arial" w:hAnsi="Arial" w:cs="Arial"/>
          <w:color w:val="0A0A0A"/>
          <w:sz w:val="22"/>
          <w:szCs w:val="22"/>
        </w:rPr>
        <w:t xml:space="preserve">, </w:t>
      </w:r>
      <w:r w:rsidR="00CA56C4" w:rsidRPr="00131C41">
        <w:rPr>
          <w:rFonts w:ascii="Arial" w:hAnsi="Arial" w:cs="Arial"/>
          <w:color w:val="0A0A0A"/>
          <w:sz w:val="22"/>
          <w:szCs w:val="22"/>
        </w:rPr>
        <w:t>the Code would benefit</w:t>
      </w:r>
      <w:r w:rsidR="000B6659" w:rsidRPr="00131C41">
        <w:rPr>
          <w:rFonts w:ascii="Arial" w:hAnsi="Arial" w:cs="Arial"/>
          <w:color w:val="0A0A0A"/>
          <w:sz w:val="22"/>
          <w:szCs w:val="22"/>
        </w:rPr>
        <w:t xml:space="preserve"> </w:t>
      </w:r>
      <w:r w:rsidR="00CA56C4" w:rsidRPr="00131C41">
        <w:rPr>
          <w:rFonts w:ascii="Arial" w:hAnsi="Arial" w:cs="Arial"/>
          <w:color w:val="0A0A0A"/>
          <w:sz w:val="22"/>
          <w:szCs w:val="22"/>
        </w:rPr>
        <w:t xml:space="preserve">from </w:t>
      </w:r>
      <w:r w:rsidR="00574AA4">
        <w:rPr>
          <w:rFonts w:ascii="Arial" w:hAnsi="Arial" w:cs="Arial"/>
          <w:color w:val="0A0A0A"/>
          <w:sz w:val="22"/>
          <w:szCs w:val="22"/>
        </w:rPr>
        <w:t xml:space="preserve">including </w:t>
      </w:r>
      <w:r w:rsidR="000B6659" w:rsidRPr="00131C41">
        <w:rPr>
          <w:rFonts w:ascii="Arial" w:hAnsi="Arial" w:cs="Arial"/>
          <w:color w:val="0A0A0A"/>
          <w:sz w:val="22"/>
          <w:szCs w:val="22"/>
        </w:rPr>
        <w:t>services tha</w:t>
      </w:r>
      <w:r w:rsidR="00124B1B" w:rsidRPr="00131C41">
        <w:rPr>
          <w:rFonts w:ascii="Arial" w:hAnsi="Arial" w:cs="Arial"/>
          <w:color w:val="0A0A0A"/>
          <w:sz w:val="22"/>
          <w:szCs w:val="22"/>
        </w:rPr>
        <w:t xml:space="preserve">t </w:t>
      </w:r>
      <w:r w:rsidR="008D4887">
        <w:rPr>
          <w:rFonts w:ascii="Arial" w:hAnsi="Arial" w:cs="Arial"/>
          <w:color w:val="0A0A0A"/>
          <w:sz w:val="22"/>
          <w:szCs w:val="22"/>
        </w:rPr>
        <w:t>offer</w:t>
      </w:r>
      <w:r w:rsidR="000B6659" w:rsidRPr="00131C41">
        <w:rPr>
          <w:rFonts w:ascii="Arial" w:hAnsi="Arial" w:cs="Arial"/>
          <w:color w:val="0A0A0A"/>
          <w:sz w:val="22"/>
          <w:szCs w:val="22"/>
        </w:rPr>
        <w:t xml:space="preserve"> bundled </w:t>
      </w:r>
      <w:r w:rsidR="00414D32" w:rsidRPr="00131C41">
        <w:rPr>
          <w:rFonts w:ascii="Arial" w:hAnsi="Arial" w:cs="Arial"/>
          <w:color w:val="0A0A0A"/>
          <w:sz w:val="22"/>
          <w:szCs w:val="22"/>
        </w:rPr>
        <w:t>features</w:t>
      </w:r>
      <w:r w:rsidR="00160A13" w:rsidRPr="00131C41">
        <w:rPr>
          <w:rFonts w:ascii="Arial" w:hAnsi="Arial" w:cs="Arial"/>
          <w:color w:val="0A0A0A"/>
          <w:sz w:val="22"/>
          <w:szCs w:val="22"/>
        </w:rPr>
        <w:t xml:space="preserve"> </w:t>
      </w:r>
      <w:r w:rsidR="00980F66" w:rsidRPr="00131C41">
        <w:rPr>
          <w:rFonts w:ascii="Arial" w:hAnsi="Arial" w:cs="Arial"/>
          <w:color w:val="0A0A0A"/>
          <w:sz w:val="22"/>
          <w:szCs w:val="22"/>
        </w:rPr>
        <w:t>and designs</w:t>
      </w:r>
      <w:r w:rsidR="007A4FBF">
        <w:rPr>
          <w:rFonts w:ascii="Arial" w:hAnsi="Arial" w:cs="Arial"/>
          <w:color w:val="0A0A0A"/>
          <w:sz w:val="22"/>
          <w:szCs w:val="22"/>
        </w:rPr>
        <w:t xml:space="preserve"> that </w:t>
      </w:r>
      <w:r w:rsidR="00AD7A1C">
        <w:rPr>
          <w:rFonts w:ascii="Arial" w:hAnsi="Arial" w:cs="Arial"/>
          <w:color w:val="0A0A0A"/>
          <w:sz w:val="22"/>
          <w:szCs w:val="22"/>
        </w:rPr>
        <w:t>rely on the collection of personal information for their use</w:t>
      </w:r>
      <w:r w:rsidR="00980F66" w:rsidRPr="00131C41">
        <w:rPr>
          <w:rFonts w:ascii="Arial" w:hAnsi="Arial" w:cs="Arial"/>
          <w:color w:val="0A0A0A"/>
          <w:sz w:val="22"/>
          <w:szCs w:val="22"/>
        </w:rPr>
        <w:t xml:space="preserve"> </w:t>
      </w:r>
      <w:r w:rsidR="00160A13" w:rsidRPr="00131C41">
        <w:rPr>
          <w:rFonts w:ascii="Arial" w:hAnsi="Arial" w:cs="Arial"/>
          <w:color w:val="0A0A0A"/>
          <w:sz w:val="22"/>
          <w:szCs w:val="22"/>
        </w:rPr>
        <w:t xml:space="preserve">such as </w:t>
      </w:r>
      <w:r w:rsidR="009807B8">
        <w:rPr>
          <w:rFonts w:ascii="Arial" w:hAnsi="Arial" w:cs="Arial"/>
          <w:color w:val="0A0A0A"/>
          <w:sz w:val="22"/>
          <w:szCs w:val="22"/>
        </w:rPr>
        <w:t>“</w:t>
      </w:r>
      <w:r w:rsidR="00160A13" w:rsidRPr="00131C41">
        <w:rPr>
          <w:rFonts w:ascii="Arial" w:hAnsi="Arial" w:cs="Arial"/>
          <w:color w:val="0A0A0A"/>
          <w:sz w:val="22"/>
          <w:szCs w:val="22"/>
        </w:rPr>
        <w:t>infinite scrolling</w:t>
      </w:r>
      <w:r w:rsidR="009807B8">
        <w:rPr>
          <w:rFonts w:ascii="Arial" w:hAnsi="Arial" w:cs="Arial"/>
          <w:color w:val="0A0A0A"/>
          <w:sz w:val="22"/>
          <w:szCs w:val="22"/>
        </w:rPr>
        <w:t>”</w:t>
      </w:r>
      <w:r w:rsidR="00124B1B" w:rsidRPr="00131C41">
        <w:rPr>
          <w:rFonts w:ascii="Arial" w:hAnsi="Arial" w:cs="Arial"/>
          <w:color w:val="0A0A0A"/>
          <w:sz w:val="22"/>
          <w:szCs w:val="22"/>
        </w:rPr>
        <w:t xml:space="preserve">, </w:t>
      </w:r>
      <w:r w:rsidR="009807B8">
        <w:rPr>
          <w:rFonts w:ascii="Arial" w:hAnsi="Arial" w:cs="Arial"/>
          <w:color w:val="0A0A0A"/>
          <w:sz w:val="22"/>
          <w:szCs w:val="22"/>
        </w:rPr>
        <w:t>“</w:t>
      </w:r>
      <w:r w:rsidR="00160A13" w:rsidRPr="00131C41">
        <w:rPr>
          <w:rFonts w:ascii="Arial" w:hAnsi="Arial" w:cs="Arial"/>
          <w:color w:val="0A0A0A"/>
          <w:sz w:val="22"/>
          <w:szCs w:val="22"/>
        </w:rPr>
        <w:t xml:space="preserve">algorithmic content </w:t>
      </w:r>
      <w:r w:rsidR="009807B8" w:rsidRPr="00131C41">
        <w:rPr>
          <w:rFonts w:ascii="Arial" w:hAnsi="Arial" w:cs="Arial"/>
          <w:color w:val="0A0A0A"/>
          <w:sz w:val="22"/>
          <w:szCs w:val="22"/>
        </w:rPr>
        <w:t>curation</w:t>
      </w:r>
      <w:r w:rsidR="009807B8">
        <w:rPr>
          <w:rFonts w:ascii="Arial" w:hAnsi="Arial" w:cs="Arial"/>
          <w:color w:val="0A0A0A"/>
          <w:sz w:val="22"/>
          <w:szCs w:val="22"/>
        </w:rPr>
        <w:t>”</w:t>
      </w:r>
      <w:r w:rsidR="0051256A" w:rsidRPr="00131C41">
        <w:rPr>
          <w:rFonts w:ascii="Arial" w:hAnsi="Arial" w:cs="Arial"/>
          <w:color w:val="0A0A0A"/>
          <w:sz w:val="22"/>
          <w:szCs w:val="22"/>
        </w:rPr>
        <w:t xml:space="preserve">, </w:t>
      </w:r>
      <w:r w:rsidR="009807B8">
        <w:rPr>
          <w:rFonts w:ascii="Arial" w:hAnsi="Arial" w:cs="Arial"/>
          <w:color w:val="0A0A0A"/>
          <w:sz w:val="22"/>
          <w:szCs w:val="22"/>
        </w:rPr>
        <w:t>“</w:t>
      </w:r>
      <w:r w:rsidR="0051256A" w:rsidRPr="00131C41">
        <w:rPr>
          <w:rFonts w:ascii="Arial" w:hAnsi="Arial" w:cs="Arial"/>
          <w:color w:val="0A0A0A"/>
          <w:sz w:val="22"/>
          <w:szCs w:val="22"/>
        </w:rPr>
        <w:t>recommendation systems</w:t>
      </w:r>
      <w:r w:rsidR="009807B8">
        <w:rPr>
          <w:rFonts w:ascii="Arial" w:hAnsi="Arial" w:cs="Arial"/>
          <w:color w:val="0A0A0A"/>
          <w:sz w:val="22"/>
          <w:szCs w:val="22"/>
        </w:rPr>
        <w:t>”</w:t>
      </w:r>
      <w:r w:rsidR="0051256A" w:rsidRPr="00131C41">
        <w:rPr>
          <w:rFonts w:ascii="Arial" w:hAnsi="Arial" w:cs="Arial"/>
          <w:color w:val="0A0A0A"/>
          <w:sz w:val="22"/>
          <w:szCs w:val="22"/>
        </w:rPr>
        <w:t xml:space="preserve"> </w:t>
      </w:r>
      <w:r w:rsidR="00160A13" w:rsidRPr="00131C41">
        <w:rPr>
          <w:rFonts w:ascii="Arial" w:hAnsi="Arial" w:cs="Arial"/>
          <w:color w:val="0A0A0A"/>
          <w:sz w:val="22"/>
          <w:szCs w:val="22"/>
        </w:rPr>
        <w:t xml:space="preserve">and </w:t>
      </w:r>
      <w:r w:rsidR="009807B8">
        <w:rPr>
          <w:rFonts w:ascii="Arial" w:hAnsi="Arial" w:cs="Arial"/>
          <w:color w:val="0A0A0A"/>
          <w:sz w:val="22"/>
          <w:szCs w:val="22"/>
        </w:rPr>
        <w:t>“</w:t>
      </w:r>
      <w:r w:rsidR="00D32602" w:rsidRPr="00131C41">
        <w:rPr>
          <w:rFonts w:ascii="Arial" w:hAnsi="Arial" w:cs="Arial"/>
          <w:color w:val="0A0A0A"/>
          <w:sz w:val="22"/>
          <w:szCs w:val="22"/>
        </w:rPr>
        <w:t>autoplay</w:t>
      </w:r>
      <w:r w:rsidR="009807B8">
        <w:rPr>
          <w:rFonts w:ascii="Arial" w:hAnsi="Arial" w:cs="Arial"/>
          <w:color w:val="0A0A0A"/>
          <w:sz w:val="22"/>
          <w:szCs w:val="22"/>
        </w:rPr>
        <w:t>”</w:t>
      </w:r>
      <w:r w:rsidR="00980F66" w:rsidRPr="00131C41">
        <w:rPr>
          <w:rFonts w:ascii="Arial" w:hAnsi="Arial" w:cs="Arial"/>
          <w:color w:val="0A0A0A"/>
          <w:sz w:val="22"/>
          <w:szCs w:val="22"/>
        </w:rPr>
        <w:t>.</w:t>
      </w:r>
      <w:r w:rsidR="00D32602" w:rsidRPr="00131C41">
        <w:rPr>
          <w:rFonts w:ascii="Arial" w:hAnsi="Arial" w:cs="Arial"/>
          <w:color w:val="0A0A0A"/>
          <w:sz w:val="22"/>
          <w:szCs w:val="22"/>
        </w:rPr>
        <w:t xml:space="preserve"> </w:t>
      </w:r>
      <w:r w:rsidR="0051256A" w:rsidRPr="00131C41">
        <w:rPr>
          <w:rFonts w:ascii="Arial" w:hAnsi="Arial" w:cs="Arial"/>
          <w:color w:val="000000" w:themeColor="text1"/>
          <w:sz w:val="22"/>
          <w:szCs w:val="22"/>
        </w:rPr>
        <w:t>This feature-based approach provides a more adaptable framework and reflects the reasoning adopted in landmark litigation against</w:t>
      </w:r>
      <w:r w:rsidR="0051256A" w:rsidRPr="00131C41">
        <w:rPr>
          <w:rStyle w:val="apple-converted-space"/>
          <w:rFonts w:ascii="Arial" w:hAnsi="Arial" w:cs="Arial"/>
          <w:color w:val="000000" w:themeColor="text1"/>
          <w:sz w:val="22"/>
          <w:szCs w:val="22"/>
        </w:rPr>
        <w:t> </w:t>
      </w:r>
      <w:r w:rsidR="0051256A" w:rsidRPr="00131C41">
        <w:rPr>
          <w:rStyle w:val="whitespace-normal"/>
          <w:rFonts w:ascii="Arial" w:hAnsi="Arial" w:cs="Arial"/>
          <w:color w:val="000000" w:themeColor="text1"/>
          <w:sz w:val="22"/>
          <w:szCs w:val="22"/>
        </w:rPr>
        <w:t>Meta</w:t>
      </w:r>
      <w:r w:rsidR="0051256A" w:rsidRPr="00131C41">
        <w:rPr>
          <w:rStyle w:val="apple-converted-space"/>
          <w:rFonts w:ascii="Arial" w:hAnsi="Arial" w:cs="Arial"/>
          <w:color w:val="000000" w:themeColor="text1"/>
          <w:sz w:val="22"/>
          <w:szCs w:val="22"/>
        </w:rPr>
        <w:t> </w:t>
      </w:r>
      <w:r w:rsidR="0051256A" w:rsidRPr="00131C41">
        <w:rPr>
          <w:rFonts w:ascii="Arial" w:hAnsi="Arial" w:cs="Arial"/>
          <w:color w:val="000000" w:themeColor="text1"/>
          <w:sz w:val="22"/>
          <w:szCs w:val="22"/>
        </w:rPr>
        <w:t>and</w:t>
      </w:r>
      <w:r w:rsidR="0051256A" w:rsidRPr="00131C41">
        <w:rPr>
          <w:rStyle w:val="apple-converted-space"/>
          <w:rFonts w:ascii="Arial" w:hAnsi="Arial" w:cs="Arial"/>
          <w:color w:val="000000" w:themeColor="text1"/>
          <w:sz w:val="22"/>
          <w:szCs w:val="22"/>
        </w:rPr>
        <w:t> </w:t>
      </w:r>
      <w:r w:rsidR="0051256A" w:rsidRPr="00131C41">
        <w:rPr>
          <w:rStyle w:val="whitespace-normal"/>
          <w:rFonts w:ascii="Arial" w:hAnsi="Arial" w:cs="Arial"/>
          <w:color w:val="000000" w:themeColor="text1"/>
          <w:sz w:val="22"/>
          <w:szCs w:val="22"/>
        </w:rPr>
        <w:t>Google</w:t>
      </w:r>
      <w:r w:rsidR="0051256A" w:rsidRPr="00131C41">
        <w:rPr>
          <w:rStyle w:val="apple-converted-space"/>
          <w:rFonts w:ascii="Arial" w:hAnsi="Arial" w:cs="Arial"/>
          <w:color w:val="000000" w:themeColor="text1"/>
          <w:sz w:val="22"/>
          <w:szCs w:val="22"/>
        </w:rPr>
        <w:t> </w:t>
      </w:r>
      <w:r w:rsidR="0051256A" w:rsidRPr="00131C41">
        <w:rPr>
          <w:rFonts w:ascii="Arial" w:hAnsi="Arial" w:cs="Arial"/>
          <w:color w:val="000000" w:themeColor="text1"/>
          <w:sz w:val="22"/>
          <w:szCs w:val="22"/>
        </w:rPr>
        <w:t>in Los Angeles, where core platform features were treated as design choices associated with foreseeable harms</w:t>
      </w:r>
      <w:r w:rsidR="003B6997" w:rsidRPr="71B16DE9">
        <w:rPr>
          <w:rFonts w:ascii="Arial" w:hAnsi="Arial" w:cs="Arial"/>
          <w:color w:val="000000" w:themeColor="text1"/>
          <w:sz w:val="22"/>
          <w:szCs w:val="22"/>
        </w:rPr>
        <w:t>.</w:t>
      </w:r>
      <w:r w:rsidR="00720E36" w:rsidRPr="00131C41">
        <w:rPr>
          <w:rStyle w:val="FootnoteReference"/>
          <w:rFonts w:ascii="Arial" w:hAnsi="Arial" w:cs="Arial"/>
          <w:color w:val="0A0A0A"/>
          <w:sz w:val="22"/>
          <w:szCs w:val="22"/>
        </w:rPr>
        <w:footnoteReference w:id="10"/>
      </w:r>
    </w:p>
    <w:p w14:paraId="5B941D97" w14:textId="689A433A" w:rsidR="0051256A" w:rsidRPr="00131C41" w:rsidRDefault="0090729D" w:rsidP="00131C41">
      <w:pPr>
        <w:widowControl/>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spacing w:before="240" w:after="240" w:line="259" w:lineRule="auto"/>
        <w:rPr>
          <w:rFonts w:eastAsiaTheme="minorEastAsia"/>
          <w:color w:val="000000"/>
          <w:lang w:val="en-GB"/>
        </w:rPr>
      </w:pPr>
      <w:r w:rsidRPr="412719D2">
        <w:rPr>
          <w:color w:val="000000" w:themeColor="text1"/>
        </w:rPr>
        <w:t xml:space="preserve">We support the </w:t>
      </w:r>
      <w:r w:rsidR="00F32EA1" w:rsidRPr="412719D2">
        <w:rPr>
          <w:color w:val="000000" w:themeColor="text1"/>
        </w:rPr>
        <w:t>expansion</w:t>
      </w:r>
      <w:r w:rsidRPr="412719D2">
        <w:rPr>
          <w:color w:val="000000" w:themeColor="text1"/>
        </w:rPr>
        <w:t xml:space="preserve"> of </w:t>
      </w:r>
      <w:r w:rsidR="00F32EA1" w:rsidRPr="412719D2">
        <w:rPr>
          <w:color w:val="000000" w:themeColor="text1"/>
        </w:rPr>
        <w:t xml:space="preserve">binding entities to include those services </w:t>
      </w:r>
      <w:r w:rsidR="005E76ED" w:rsidRPr="412719D2">
        <w:rPr>
          <w:color w:val="000000" w:themeColor="text1"/>
        </w:rPr>
        <w:t>“</w:t>
      </w:r>
      <w:r w:rsidR="00F32EA1" w:rsidRPr="412719D2">
        <w:rPr>
          <w:color w:val="000000" w:themeColor="text1"/>
        </w:rPr>
        <w:t xml:space="preserve">that </w:t>
      </w:r>
      <w:r w:rsidR="00F602D7" w:rsidRPr="00131C41">
        <w:rPr>
          <w:rFonts w:eastAsiaTheme="minorEastAsia"/>
          <w:color w:val="000000" w:themeColor="text1"/>
          <w:lang w:val="en-GB"/>
        </w:rPr>
        <w:t>are not directly</w:t>
      </w:r>
      <w:r w:rsidR="00DD2717" w:rsidRPr="412719D2">
        <w:rPr>
          <w:rFonts w:eastAsiaTheme="minorEastAsia"/>
          <w:color w:val="000000" w:themeColor="text1"/>
          <w:lang w:val="en-GB"/>
        </w:rPr>
        <w:t xml:space="preserve"> </w:t>
      </w:r>
      <w:r w:rsidR="00F602D7" w:rsidRPr="00131C41">
        <w:rPr>
          <w:rFonts w:eastAsiaTheme="minorEastAsia"/>
          <w:color w:val="000000" w:themeColor="text1"/>
          <w:lang w:val="en-GB"/>
        </w:rPr>
        <w:t>accessed by children but are nonetheless primarily concerned with children</w:t>
      </w:r>
      <w:r w:rsidR="005E76ED" w:rsidRPr="412719D2">
        <w:rPr>
          <w:rFonts w:eastAsiaTheme="minorEastAsia"/>
          <w:color w:val="000000" w:themeColor="text1"/>
          <w:lang w:val="en-GB"/>
        </w:rPr>
        <w:t>’</w:t>
      </w:r>
      <w:r w:rsidR="00F602D7" w:rsidRPr="00131C41">
        <w:rPr>
          <w:rFonts w:eastAsiaTheme="minorEastAsia"/>
          <w:color w:val="000000" w:themeColor="text1"/>
          <w:lang w:val="en-GB"/>
        </w:rPr>
        <w:t>s activities and that such</w:t>
      </w:r>
      <w:r w:rsidR="00DD2717" w:rsidRPr="412719D2">
        <w:rPr>
          <w:rFonts w:eastAsiaTheme="minorEastAsia"/>
          <w:color w:val="000000" w:themeColor="text1"/>
          <w:lang w:val="en-GB"/>
        </w:rPr>
        <w:t xml:space="preserve"> </w:t>
      </w:r>
      <w:r w:rsidR="00F602D7" w:rsidRPr="00131C41">
        <w:rPr>
          <w:rFonts w:eastAsiaTheme="minorEastAsia"/>
          <w:color w:val="000000" w:themeColor="text1"/>
          <w:lang w:val="en-GB"/>
        </w:rPr>
        <w:t>services may present comparable privacy risks</w:t>
      </w:r>
      <w:r w:rsidR="005E76ED" w:rsidRPr="412719D2">
        <w:rPr>
          <w:rFonts w:eastAsiaTheme="minorEastAsia"/>
          <w:color w:val="000000" w:themeColor="text1"/>
          <w:lang w:val="en-GB"/>
        </w:rPr>
        <w:t>”</w:t>
      </w:r>
      <w:r w:rsidR="004D7142" w:rsidRPr="00131C41">
        <w:rPr>
          <w:rFonts w:eastAsiaTheme="minorEastAsia"/>
          <w:color w:val="000000" w:themeColor="text1"/>
          <w:lang w:val="en-GB"/>
        </w:rPr>
        <w:t xml:space="preserve"> (section 5</w:t>
      </w:r>
      <w:r w:rsidR="00DD2717" w:rsidRPr="00131C41">
        <w:rPr>
          <w:rFonts w:eastAsiaTheme="minorEastAsia"/>
          <w:color w:val="000000" w:themeColor="text1"/>
          <w:lang w:val="en-GB"/>
        </w:rPr>
        <w:t>).</w:t>
      </w:r>
      <w:r w:rsidR="00F32EA1" w:rsidRPr="412719D2">
        <w:rPr>
          <w:color w:val="000000" w:themeColor="text1"/>
        </w:rPr>
        <w:t xml:space="preserve"> </w:t>
      </w:r>
      <w:r w:rsidR="00DD2717" w:rsidRPr="412719D2">
        <w:rPr>
          <w:color w:val="000000" w:themeColor="text1"/>
        </w:rPr>
        <w:t>However,</w:t>
      </w:r>
      <w:r w:rsidR="0051256A" w:rsidRPr="412719D2">
        <w:rPr>
          <w:color w:val="000000" w:themeColor="text1"/>
        </w:rPr>
        <w:t xml:space="preserve"> </w:t>
      </w:r>
      <w:r w:rsidR="00444A4C" w:rsidRPr="412719D2">
        <w:rPr>
          <w:color w:val="000000" w:themeColor="text1"/>
        </w:rPr>
        <w:t xml:space="preserve">we are concerned about the carve out for entities that are providing health services. It </w:t>
      </w:r>
      <w:r w:rsidR="0051256A" w:rsidRPr="412719D2">
        <w:rPr>
          <w:color w:val="000000" w:themeColor="text1"/>
        </w:rPr>
        <w:t>is important to recognise that a growing number of</w:t>
      </w:r>
      <w:r w:rsidR="0051256A" w:rsidRPr="00A43589">
        <w:rPr>
          <w:color w:val="000000" w:themeColor="text1"/>
        </w:rPr>
        <w:t xml:space="preserve"> </w:t>
      </w:r>
      <w:r w:rsidR="00A43589" w:rsidRPr="00A43589">
        <w:rPr>
          <w:rFonts w:eastAsiaTheme="minorHAnsi"/>
          <w:lang w:val="en-GB"/>
        </w:rPr>
        <w:t>health, wellbeing, and social support/companionship services</w:t>
      </w:r>
      <w:r w:rsidR="00B47314" w:rsidRPr="00A43589">
        <w:rPr>
          <w:color w:val="000000" w:themeColor="text1"/>
        </w:rPr>
        <w:t>,</w:t>
      </w:r>
      <w:r w:rsidR="0051256A" w:rsidRPr="00A43589">
        <w:rPr>
          <w:color w:val="000000" w:themeColor="text1"/>
        </w:rPr>
        <w:t xml:space="preserve"> </w:t>
      </w:r>
      <w:r w:rsidR="0051256A" w:rsidRPr="412719D2">
        <w:rPr>
          <w:color w:val="000000" w:themeColor="text1"/>
        </w:rPr>
        <w:t>including period tracking apps, meditation apps, and social chatbots that increasingly rely on generative AI</w:t>
      </w:r>
      <w:r w:rsidR="00B47314" w:rsidRPr="412719D2">
        <w:rPr>
          <w:color w:val="000000" w:themeColor="text1"/>
        </w:rPr>
        <w:t>,</w:t>
      </w:r>
      <w:r w:rsidR="0051256A" w:rsidRPr="412719D2">
        <w:rPr>
          <w:color w:val="000000" w:themeColor="text1"/>
        </w:rPr>
        <w:t xml:space="preserve"> are marketed to, and widely used by, children and teenagers, even where this is not made explicit. Exempting health services from the scope of the Code therefore creates a potential loophole, allowing providers of these services to avoid the obligations and accountability measures established under the Code.</w:t>
      </w:r>
    </w:p>
    <w:p w14:paraId="6CD35EF7" w14:textId="219DD62F" w:rsidR="4A9BE396" w:rsidRDefault="00E90DEF" w:rsidP="412719D2">
      <w:pPr>
        <w:pStyle w:val="NormalWeb"/>
        <w:spacing w:before="240" w:beforeAutospacing="0" w:after="240" w:afterAutospacing="0" w:line="259" w:lineRule="auto"/>
      </w:pPr>
      <w:r w:rsidRPr="00340B62">
        <w:rPr>
          <w:rFonts w:ascii="Arial" w:hAnsi="Arial" w:cs="Arial"/>
          <w:color w:val="000000"/>
          <w:sz w:val="22"/>
          <w:szCs w:val="22"/>
        </w:rPr>
        <w:t>For this reason</w:t>
      </w:r>
      <w:r w:rsidR="00340B62">
        <w:rPr>
          <w:rFonts w:ascii="Arial" w:hAnsi="Arial" w:cs="Arial"/>
          <w:color w:val="000000"/>
          <w:sz w:val="22"/>
          <w:szCs w:val="22"/>
        </w:rPr>
        <w:t>,</w:t>
      </w:r>
      <w:r w:rsidRPr="00340B62">
        <w:rPr>
          <w:rFonts w:ascii="Arial" w:hAnsi="Arial" w:cs="Arial"/>
          <w:color w:val="000000"/>
          <w:sz w:val="22"/>
          <w:szCs w:val="22"/>
        </w:rPr>
        <w:t xml:space="preserve"> </w:t>
      </w:r>
      <w:r w:rsidRPr="005A491F">
        <w:rPr>
          <w:rFonts w:ascii="Arial" w:hAnsi="Arial" w:cs="Arial"/>
          <w:b/>
          <w:bCs/>
          <w:color w:val="000000"/>
          <w:sz w:val="22"/>
          <w:szCs w:val="22"/>
        </w:rPr>
        <w:t xml:space="preserve">it is important that definitions </w:t>
      </w:r>
      <w:r w:rsidR="00340B62" w:rsidRPr="005A491F">
        <w:rPr>
          <w:rFonts w:ascii="Arial" w:hAnsi="Arial" w:cs="Arial"/>
          <w:b/>
          <w:bCs/>
          <w:color w:val="000000"/>
          <w:sz w:val="22"/>
          <w:szCs w:val="22"/>
        </w:rPr>
        <w:t>must be sufficiently fit for purpose and adaptable to account for the diverse range of service types and configurations</w:t>
      </w:r>
      <w:r w:rsidR="00AF60D2" w:rsidRPr="005A491F">
        <w:rPr>
          <w:rFonts w:ascii="Arial" w:hAnsi="Arial" w:cs="Arial"/>
          <w:b/>
          <w:bCs/>
          <w:color w:val="000000"/>
          <w:sz w:val="22"/>
          <w:szCs w:val="22"/>
        </w:rPr>
        <w:t xml:space="preserve"> and</w:t>
      </w:r>
      <w:r w:rsidR="00340B62" w:rsidRPr="005A491F">
        <w:rPr>
          <w:rFonts w:ascii="Arial" w:hAnsi="Arial" w:cs="Arial"/>
          <w:b/>
          <w:bCs/>
          <w:color w:val="000000"/>
          <w:sz w:val="22"/>
          <w:szCs w:val="22"/>
        </w:rPr>
        <w:t xml:space="preserve"> the pace of technological change</w:t>
      </w:r>
      <w:r w:rsidR="00FD11DE" w:rsidRPr="005A491F">
        <w:rPr>
          <w:rFonts w:ascii="Arial" w:hAnsi="Arial" w:cs="Arial"/>
          <w:b/>
          <w:bCs/>
          <w:color w:val="000000"/>
          <w:sz w:val="22"/>
          <w:szCs w:val="22"/>
        </w:rPr>
        <w:t xml:space="preserve">. </w:t>
      </w:r>
      <w:r w:rsidR="00FD11DE" w:rsidRPr="000F7171">
        <w:rPr>
          <w:rFonts w:ascii="Arial" w:hAnsi="Arial" w:cs="Arial"/>
          <w:b/>
          <w:bCs/>
          <w:color w:val="000000"/>
          <w:sz w:val="22"/>
          <w:szCs w:val="22"/>
        </w:rPr>
        <w:t xml:space="preserve">Moreover, because of </w:t>
      </w:r>
      <w:r w:rsidR="00340B62" w:rsidRPr="000F7171">
        <w:rPr>
          <w:rFonts w:ascii="Arial" w:hAnsi="Arial" w:cs="Arial"/>
          <w:b/>
          <w:bCs/>
          <w:color w:val="000000"/>
          <w:sz w:val="22"/>
          <w:szCs w:val="22"/>
        </w:rPr>
        <w:t>the increasingly blurred boundaries surrounding personalised health and wellbeing services</w:t>
      </w:r>
      <w:r w:rsidR="00FD11DE" w:rsidRPr="000F7171">
        <w:rPr>
          <w:rFonts w:ascii="Arial" w:hAnsi="Arial" w:cs="Arial"/>
          <w:b/>
          <w:bCs/>
          <w:color w:val="000000"/>
          <w:sz w:val="22"/>
          <w:szCs w:val="22"/>
        </w:rPr>
        <w:t>,</w:t>
      </w:r>
      <w:r w:rsidR="00FD11DE" w:rsidRPr="0026015B">
        <w:rPr>
          <w:rFonts w:ascii="Arial" w:hAnsi="Arial" w:cs="Arial"/>
          <w:b/>
          <w:bCs/>
          <w:color w:val="000000"/>
          <w:sz w:val="22"/>
          <w:szCs w:val="22"/>
        </w:rPr>
        <w:t xml:space="preserve"> we </w:t>
      </w:r>
      <w:r w:rsidR="00CD5BA3" w:rsidRPr="0026015B">
        <w:rPr>
          <w:rFonts w:ascii="Arial" w:hAnsi="Arial" w:cs="Arial"/>
          <w:b/>
          <w:bCs/>
          <w:color w:val="000000"/>
          <w:sz w:val="22"/>
          <w:szCs w:val="22"/>
        </w:rPr>
        <w:t xml:space="preserve">recommend </w:t>
      </w:r>
      <w:r w:rsidR="00FD11DE" w:rsidRPr="0026015B">
        <w:rPr>
          <w:rFonts w:ascii="Arial" w:hAnsi="Arial" w:cs="Arial"/>
          <w:b/>
          <w:bCs/>
          <w:color w:val="000000"/>
          <w:sz w:val="22"/>
          <w:szCs w:val="22"/>
        </w:rPr>
        <w:t xml:space="preserve">removing the exception </w:t>
      </w:r>
      <w:r w:rsidR="000E38E3" w:rsidRPr="0026015B">
        <w:rPr>
          <w:rFonts w:ascii="Arial" w:hAnsi="Arial" w:cs="Arial"/>
          <w:b/>
          <w:bCs/>
          <w:color w:val="000000"/>
          <w:sz w:val="22"/>
          <w:szCs w:val="22"/>
        </w:rPr>
        <w:t>for</w:t>
      </w:r>
      <w:r w:rsidR="00FD11DE" w:rsidRPr="0026015B">
        <w:rPr>
          <w:rFonts w:ascii="Arial" w:hAnsi="Arial" w:cs="Arial"/>
          <w:b/>
          <w:bCs/>
          <w:color w:val="000000"/>
          <w:sz w:val="22"/>
          <w:szCs w:val="22"/>
        </w:rPr>
        <w:t xml:space="preserve"> health services.</w:t>
      </w:r>
      <w:r w:rsidR="00DC7CE6">
        <w:rPr>
          <w:rFonts w:ascii="Arial" w:hAnsi="Arial" w:cs="Arial"/>
          <w:color w:val="000000"/>
          <w:sz w:val="22"/>
          <w:szCs w:val="22"/>
        </w:rPr>
        <w:t xml:space="preserve"> </w:t>
      </w:r>
      <w:r w:rsidR="00BB0C33">
        <w:rPr>
          <w:rFonts w:ascii="Arial" w:hAnsi="Arial" w:cs="Arial"/>
          <w:color w:val="000000" w:themeColor="text1"/>
          <w:sz w:val="22"/>
          <w:szCs w:val="22"/>
        </w:rPr>
        <w:t>The</w:t>
      </w:r>
      <w:r w:rsidR="4A9BE396" w:rsidRPr="412719D2">
        <w:rPr>
          <w:rFonts w:ascii="Arial" w:hAnsi="Arial" w:cs="Arial"/>
          <w:color w:val="000000" w:themeColor="text1"/>
          <w:sz w:val="22"/>
          <w:szCs w:val="22"/>
        </w:rPr>
        <w:t xml:space="preserve"> Code should clarify how obligations apply </w:t>
      </w:r>
      <w:r w:rsidR="002E4E57">
        <w:rPr>
          <w:rFonts w:ascii="Arial" w:hAnsi="Arial" w:cs="Arial"/>
          <w:color w:val="000000" w:themeColor="text1"/>
          <w:sz w:val="22"/>
          <w:szCs w:val="22"/>
        </w:rPr>
        <w:t xml:space="preserve">to </w:t>
      </w:r>
      <w:r w:rsidR="00317E30">
        <w:rPr>
          <w:rFonts w:ascii="Arial" w:hAnsi="Arial" w:cs="Arial"/>
          <w:color w:val="000000" w:themeColor="text1"/>
          <w:sz w:val="22"/>
          <w:szCs w:val="22"/>
        </w:rPr>
        <w:t xml:space="preserve">educational technologies (EdTech) </w:t>
      </w:r>
      <w:r w:rsidR="4A9BE396" w:rsidRPr="412719D2">
        <w:rPr>
          <w:rFonts w:ascii="Arial" w:hAnsi="Arial" w:cs="Arial"/>
          <w:color w:val="000000" w:themeColor="text1"/>
          <w:sz w:val="22"/>
          <w:szCs w:val="22"/>
        </w:rPr>
        <w:t xml:space="preserve">in </w:t>
      </w:r>
      <w:r w:rsidR="00317E30">
        <w:rPr>
          <w:rFonts w:ascii="Arial" w:hAnsi="Arial" w:cs="Arial"/>
          <w:color w:val="000000" w:themeColor="text1"/>
          <w:sz w:val="22"/>
          <w:szCs w:val="22"/>
        </w:rPr>
        <w:t xml:space="preserve">schools and other </w:t>
      </w:r>
      <w:r w:rsidR="002E4E57">
        <w:rPr>
          <w:rFonts w:ascii="Arial" w:hAnsi="Arial" w:cs="Arial"/>
          <w:color w:val="000000" w:themeColor="text1"/>
          <w:sz w:val="22"/>
          <w:szCs w:val="22"/>
        </w:rPr>
        <w:t>educational settings</w:t>
      </w:r>
      <w:r w:rsidR="00317E30">
        <w:rPr>
          <w:rFonts w:ascii="Arial" w:hAnsi="Arial" w:cs="Arial"/>
          <w:color w:val="000000" w:themeColor="text1"/>
          <w:sz w:val="22"/>
          <w:szCs w:val="22"/>
        </w:rPr>
        <w:t>,</w:t>
      </w:r>
      <w:r w:rsidR="002E4E57">
        <w:rPr>
          <w:rFonts w:ascii="Arial" w:hAnsi="Arial" w:cs="Arial"/>
          <w:color w:val="000000" w:themeColor="text1"/>
          <w:sz w:val="22"/>
          <w:szCs w:val="22"/>
        </w:rPr>
        <w:t xml:space="preserve"> and </w:t>
      </w:r>
      <w:r w:rsidR="4A9BE396" w:rsidRPr="412719D2">
        <w:rPr>
          <w:rFonts w:ascii="Arial" w:hAnsi="Arial" w:cs="Arial"/>
          <w:color w:val="000000" w:themeColor="text1"/>
          <w:sz w:val="22"/>
          <w:szCs w:val="22"/>
        </w:rPr>
        <w:t>ambient, shared-device (multi-user) environments, where children’s voice-activated interactions and other service use behaviours may be passively captured alongside those of adult account holders and other household members (e.g., voice assistant services such as Alexa), often without clear user boundaries or meaningful opportunities for consent.</w:t>
      </w:r>
    </w:p>
    <w:p w14:paraId="25633269" w14:textId="11F5215D" w:rsidR="00E74211" w:rsidRPr="00C80E92" w:rsidRDefault="00AB7624" w:rsidP="00C80E92">
      <w:pPr>
        <w:pStyle w:val="Heading1"/>
      </w:pPr>
      <w:bookmarkStart w:id="35" w:name="_Toc230295219"/>
      <w:bookmarkStart w:id="36" w:name="_Toc230896255"/>
      <w:r>
        <w:t>Independent p</w:t>
      </w:r>
      <w:r w:rsidR="00C80E92">
        <w:t xml:space="preserve">rivacy </w:t>
      </w:r>
      <w:r w:rsidR="003E067F">
        <w:t>impact assessments</w:t>
      </w:r>
      <w:bookmarkEnd w:id="35"/>
      <w:bookmarkEnd w:id="36"/>
    </w:p>
    <w:p w14:paraId="0607DA99" w14:textId="32485A17" w:rsidR="00CD085C" w:rsidRPr="00C80E92" w:rsidRDefault="54004D6C" w:rsidP="4CB4B2B0">
      <w:pPr>
        <w:spacing w:before="240" w:after="240" w:line="259" w:lineRule="auto"/>
        <w:rPr>
          <w:b/>
          <w:bCs/>
        </w:rPr>
      </w:pPr>
      <w:r w:rsidRPr="00C80E92">
        <w:rPr>
          <w:b/>
          <w:bCs/>
        </w:rPr>
        <w:t xml:space="preserve">Recommendation: </w:t>
      </w:r>
      <w:r w:rsidR="00483419">
        <w:rPr>
          <w:b/>
          <w:bCs/>
        </w:rPr>
        <w:t>Undertake p</w:t>
      </w:r>
      <w:r w:rsidRPr="00C80E92">
        <w:rPr>
          <w:b/>
          <w:bCs/>
        </w:rPr>
        <w:t xml:space="preserve">rivacy </w:t>
      </w:r>
      <w:r w:rsidR="505FE274" w:rsidRPr="71B16DE9">
        <w:rPr>
          <w:b/>
          <w:bCs/>
        </w:rPr>
        <w:t>i</w:t>
      </w:r>
      <w:r w:rsidRPr="00C80E92">
        <w:rPr>
          <w:b/>
          <w:bCs/>
        </w:rPr>
        <w:t>mpact assessments</w:t>
      </w:r>
      <w:r w:rsidR="4BCAEE7A" w:rsidRPr="71B16DE9">
        <w:rPr>
          <w:b/>
          <w:bCs/>
        </w:rPr>
        <w:t xml:space="preserve"> </w:t>
      </w:r>
      <w:r w:rsidR="00483419">
        <w:rPr>
          <w:b/>
          <w:bCs/>
        </w:rPr>
        <w:t>conducted</w:t>
      </w:r>
      <w:r w:rsidR="4BCAEE7A" w:rsidRPr="71B16DE9">
        <w:rPr>
          <w:b/>
          <w:bCs/>
        </w:rPr>
        <w:t xml:space="preserve"> by independent bodies incorporating evidence-based research  </w:t>
      </w:r>
    </w:p>
    <w:p w14:paraId="12F53036" w14:textId="77777777" w:rsidR="00805203" w:rsidRDefault="114A7F88" w:rsidP="00CC3D73">
      <w:pPr>
        <w:spacing w:before="240" w:after="240" w:line="259" w:lineRule="auto"/>
        <w:rPr>
          <w:rFonts w:eastAsiaTheme="minorEastAsia"/>
        </w:rPr>
      </w:pPr>
      <w:r>
        <w:t>While impact assessments are generall</w:t>
      </w:r>
      <w:r w:rsidR="5A4AAA46">
        <w:t xml:space="preserve">y </w:t>
      </w:r>
      <w:r>
        <w:t>noted as a useful mechanism for driving and assessing how privacy is designed, deployed and operationalised, the process of the assessment is oft</w:t>
      </w:r>
      <w:r w:rsidR="138E61DF">
        <w:t>en</w:t>
      </w:r>
      <w:r>
        <w:t xml:space="preserve"> opaque.</w:t>
      </w:r>
      <w:r w:rsidR="160ADD76">
        <w:t xml:space="preserve"> Key concerns ar</w:t>
      </w:r>
      <w:r w:rsidR="3FA9C9B1">
        <w:t>e present within</w:t>
      </w:r>
      <w:r w:rsidR="160ADD76">
        <w:t xml:space="preserve"> t</w:t>
      </w:r>
      <w:r w:rsidR="498AAFD7">
        <w:t>he</w:t>
      </w:r>
      <w:r w:rsidR="7F4D5374">
        <w:t xml:space="preserve"> ways in which assessments are undertaken, who does the assess</w:t>
      </w:r>
      <w:r w:rsidR="43C26E27">
        <w:t>ing</w:t>
      </w:r>
      <w:r w:rsidR="7F4D5374">
        <w:t xml:space="preserve">, the </w:t>
      </w:r>
      <w:r w:rsidR="6175EEBD">
        <w:t>determination and assigning of the assessme</w:t>
      </w:r>
      <w:r w:rsidR="78B2D899">
        <w:t>n</w:t>
      </w:r>
      <w:r w:rsidR="6175EEBD">
        <w:t xml:space="preserve">t </w:t>
      </w:r>
      <w:r w:rsidR="73279585">
        <w:t>criteria</w:t>
      </w:r>
      <w:r w:rsidR="3D3E9D47">
        <w:t>,</w:t>
      </w:r>
      <w:r w:rsidR="73279585">
        <w:t xml:space="preserve"> and </w:t>
      </w:r>
      <w:r w:rsidR="3F2E7DB1">
        <w:t xml:space="preserve">the </w:t>
      </w:r>
      <w:r w:rsidR="5A42F224">
        <w:t xml:space="preserve">measurements </w:t>
      </w:r>
      <w:r w:rsidR="2A9F288A">
        <w:t xml:space="preserve">that are or are not </w:t>
      </w:r>
      <w:r w:rsidR="5A42F224">
        <w:t xml:space="preserve">in place to determine whether the privacy arrangements are suitable </w:t>
      </w:r>
      <w:r w:rsidR="5222395A">
        <w:t>for users, especially younger users</w:t>
      </w:r>
      <w:r w:rsidR="5A42F224">
        <w:t xml:space="preserve">. Further to these concerns, privacy assessment is undertaken by the same commercial </w:t>
      </w:r>
      <w:r w:rsidR="2097084D">
        <w:t xml:space="preserve">providers who manage and facilitate the platforms on which highly sensitive data activities take place, removing a </w:t>
      </w:r>
      <w:r w:rsidR="38DEED0B">
        <w:t xml:space="preserve">large proportion of objectivity for those assessments. </w:t>
      </w:r>
      <w:r w:rsidR="003F0BB2">
        <w:rPr>
          <w:rFonts w:eastAsiaTheme="minorEastAsia"/>
        </w:rPr>
        <w:t>P</w:t>
      </w:r>
      <w:r w:rsidR="00610383" w:rsidRPr="508D9A65">
        <w:rPr>
          <w:rFonts w:eastAsiaTheme="minorEastAsia"/>
        </w:rPr>
        <w:t xml:space="preserve">rivacy impact assessments should </w:t>
      </w:r>
      <w:r w:rsidR="00914721">
        <w:rPr>
          <w:rFonts w:eastAsiaTheme="minorEastAsia"/>
        </w:rPr>
        <w:t xml:space="preserve">be independent and </w:t>
      </w:r>
      <w:r w:rsidR="00610383" w:rsidRPr="508D9A65">
        <w:rPr>
          <w:rFonts w:eastAsiaTheme="minorEastAsia"/>
        </w:rPr>
        <w:t>systematically evaluate interface features and user journeys</w:t>
      </w:r>
      <w:r w:rsidR="0063579F">
        <w:rPr>
          <w:rFonts w:eastAsiaTheme="minorEastAsia"/>
        </w:rPr>
        <w:t xml:space="preserve"> </w:t>
      </w:r>
      <w:r w:rsidR="00C75275">
        <w:rPr>
          <w:rFonts w:eastAsiaTheme="minorEastAsia"/>
        </w:rPr>
        <w:t>as well as</w:t>
      </w:r>
      <w:r w:rsidR="003F0BB2">
        <w:rPr>
          <w:rFonts w:eastAsiaTheme="minorEastAsia"/>
        </w:rPr>
        <w:t xml:space="preserve"> </w:t>
      </w:r>
      <w:r w:rsidR="00BF4381" w:rsidRPr="000954F0">
        <w:rPr>
          <w:rFonts w:eastAsiaTheme="minorEastAsia"/>
        </w:rPr>
        <w:t>how privacy by design is implemented in practice</w:t>
      </w:r>
      <w:r w:rsidR="00610383" w:rsidRPr="508D9A65">
        <w:rPr>
          <w:rFonts w:eastAsiaTheme="minorEastAsia"/>
        </w:rPr>
        <w:t>.</w:t>
      </w:r>
      <w:r w:rsidR="003F0BB2">
        <w:rPr>
          <w:rFonts w:eastAsiaTheme="minorEastAsia"/>
        </w:rPr>
        <w:t xml:space="preserve"> </w:t>
      </w:r>
    </w:p>
    <w:p w14:paraId="4F1D4B55" w14:textId="02305338" w:rsidR="00E60984" w:rsidRDefault="4AFF31CF" w:rsidP="00CC3D73">
      <w:pPr>
        <w:spacing w:before="240" w:after="240" w:line="259" w:lineRule="auto"/>
      </w:pPr>
      <w:r w:rsidRPr="00A977FB">
        <w:rPr>
          <w:b/>
          <w:bCs/>
        </w:rPr>
        <w:lastRenderedPageBreak/>
        <w:t>We urge the Government to support the formation of an in</w:t>
      </w:r>
      <w:r w:rsidR="22C7B9B9" w:rsidRPr="00A977FB">
        <w:rPr>
          <w:b/>
          <w:bCs/>
        </w:rPr>
        <w:t>dependent privacy assessment body that draws on evidence-based research data for best practice for user privacy across digital environments</w:t>
      </w:r>
      <w:r w:rsidR="22C7B9B9">
        <w:t>. We suggest these ki</w:t>
      </w:r>
      <w:r w:rsidR="29D55144">
        <w:t xml:space="preserve">nds of independent privacy reviews should take place periodically on digital media environments to ensure the technology providers operating in this space do indeed have user privacy not only as a core value, but </w:t>
      </w:r>
      <w:r w:rsidR="3F40D8E7">
        <w:t>a</w:t>
      </w:r>
      <w:r w:rsidR="19918430">
        <w:t>s</w:t>
      </w:r>
      <w:r w:rsidR="3F40D8E7">
        <w:t xml:space="preserve"> </w:t>
      </w:r>
      <w:r w:rsidR="29D55144">
        <w:t xml:space="preserve">a legitimate practice that </w:t>
      </w:r>
      <w:r w:rsidR="2CAED03F">
        <w:t>serves the people it engages.</w:t>
      </w:r>
      <w:r>
        <w:t xml:space="preserve"> </w:t>
      </w:r>
    </w:p>
    <w:p w14:paraId="104B98C1" w14:textId="52696ED7" w:rsidR="00AB7624" w:rsidRPr="005F6A59" w:rsidRDefault="772A2AAE" w:rsidP="005F6A59">
      <w:pPr>
        <w:widowControl/>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rPr>
          <w:rFonts w:ascii="Times New Roman" w:eastAsiaTheme="minorHAnsi" w:hAnsi="Times New Roman" w:cs="Times New Roman"/>
          <w:color w:val="000000"/>
          <w:lang w:val="en-GB"/>
        </w:rPr>
      </w:pPr>
      <w:r>
        <w:t>We also urge the Government to provide a more standardi</w:t>
      </w:r>
      <w:r w:rsidR="00DF715E">
        <w:t>s</w:t>
      </w:r>
      <w:r>
        <w:t xml:space="preserve">ed structure for privacy impact assessments, building on existing OAIC guidance, that includes accessibility as a core criterion, to account for the </w:t>
      </w:r>
      <w:r w:rsidRPr="00DE1BC9">
        <w:t xml:space="preserve">needs of a diverse population of internet users. </w:t>
      </w:r>
      <w:r w:rsidR="00FD4DDB" w:rsidRPr="00DE1BC9">
        <w:t xml:space="preserve">The Code requires that </w:t>
      </w:r>
      <w:r w:rsidR="00D872A1" w:rsidRPr="00DE1BC9">
        <w:t xml:space="preserve">a privacy impact assessment be conducted </w:t>
      </w:r>
      <w:r w:rsidR="005F6A59" w:rsidRPr="00DE1BC9">
        <w:t>when</w:t>
      </w:r>
      <w:r w:rsidR="005F6A59" w:rsidRPr="00DE1BC9">
        <w:rPr>
          <w:rFonts w:eastAsiaTheme="minorHAnsi"/>
          <w:color w:val="000000"/>
          <w:lang w:val="en-GB"/>
        </w:rPr>
        <w:t xml:space="preserve"> a new service or activity </w:t>
      </w:r>
      <w:r w:rsidR="006C3FEE" w:rsidRPr="00DE1BC9">
        <w:rPr>
          <w:rFonts w:eastAsiaTheme="minorHAnsi"/>
          <w:color w:val="000000"/>
          <w:lang w:val="en-GB"/>
        </w:rPr>
        <w:t xml:space="preserve">is introduced or </w:t>
      </w:r>
      <w:r w:rsidR="000A5CF0" w:rsidRPr="00DE1BC9">
        <w:rPr>
          <w:rFonts w:eastAsiaTheme="minorHAnsi"/>
          <w:color w:val="000000"/>
          <w:lang w:val="en-GB"/>
        </w:rPr>
        <w:t xml:space="preserve">when </w:t>
      </w:r>
      <w:r w:rsidR="006C3FEE" w:rsidRPr="00DE1BC9">
        <w:rPr>
          <w:rFonts w:eastAsiaTheme="minorHAnsi"/>
          <w:color w:val="000000"/>
          <w:lang w:val="en-GB"/>
        </w:rPr>
        <w:t>there are changes</w:t>
      </w:r>
      <w:r w:rsidR="005F6A59" w:rsidRPr="00DE1BC9">
        <w:rPr>
          <w:rFonts w:eastAsiaTheme="minorHAnsi"/>
          <w:color w:val="000000"/>
          <w:lang w:val="en-GB"/>
        </w:rPr>
        <w:t xml:space="preserve"> </w:t>
      </w:r>
      <w:r w:rsidR="000A5CF0" w:rsidRPr="00DE1BC9">
        <w:rPr>
          <w:rFonts w:eastAsiaTheme="minorHAnsi"/>
          <w:color w:val="000000"/>
          <w:lang w:val="en-GB"/>
        </w:rPr>
        <w:t>to</w:t>
      </w:r>
      <w:r w:rsidR="006C3FEE" w:rsidRPr="00DE1BC9">
        <w:rPr>
          <w:rFonts w:eastAsiaTheme="minorHAnsi"/>
          <w:color w:val="000000"/>
          <w:lang w:val="en-GB"/>
        </w:rPr>
        <w:t xml:space="preserve"> the </w:t>
      </w:r>
      <w:r w:rsidR="005F6A59" w:rsidRPr="00DE1BC9">
        <w:rPr>
          <w:rFonts w:eastAsiaTheme="minorHAnsi"/>
          <w:color w:val="000000"/>
          <w:lang w:val="en-GB"/>
        </w:rPr>
        <w:t xml:space="preserve">handling personal information </w:t>
      </w:r>
      <w:r w:rsidR="005F6A59" w:rsidRPr="00DE1BC9">
        <w:t xml:space="preserve">(section 38), </w:t>
      </w:r>
      <w:r w:rsidR="210A9E53" w:rsidRPr="00DE1BC9">
        <w:t xml:space="preserve">however we recommend </w:t>
      </w:r>
      <w:r w:rsidR="00D10D8D">
        <w:t xml:space="preserve">specific reference to </w:t>
      </w:r>
      <w:r w:rsidR="002539D9">
        <w:t xml:space="preserve">a requirement </w:t>
      </w:r>
      <w:r w:rsidR="00D10D8D">
        <w:t xml:space="preserve">that all entities conduct privacy impact assessments prior to the commencement of the Code and </w:t>
      </w:r>
      <w:r w:rsidR="210A9E53" w:rsidRPr="00DE1BC9">
        <w:t>the inclusion of a</w:t>
      </w:r>
      <w:r w:rsidRPr="00DE1BC9">
        <w:t xml:space="preserve"> mechanism for periodic (e.g., annual) reassessment to ensure that privacy protections remain effective, consistent, and responsive to evolving technologies, </w:t>
      </w:r>
      <w:r w:rsidR="7BD95B68" w:rsidRPr="00DE1BC9">
        <w:t xml:space="preserve">privacy </w:t>
      </w:r>
      <w:r w:rsidRPr="00DE1BC9">
        <w:t xml:space="preserve">practices, </w:t>
      </w:r>
      <w:r w:rsidR="373B5047" w:rsidRPr="00DE1BC9">
        <w:t>changes in service design, and</w:t>
      </w:r>
      <w:r w:rsidRPr="00DE1BC9">
        <w:t xml:space="preserve"> patterns of use.</w:t>
      </w:r>
    </w:p>
    <w:p w14:paraId="3BA42F52" w14:textId="77777777" w:rsidR="00F84193" w:rsidRDefault="00F84193" w:rsidP="4CB4B2B0">
      <w:pPr>
        <w:spacing w:before="240" w:after="240" w:line="259" w:lineRule="auto"/>
      </w:pPr>
    </w:p>
    <w:p w14:paraId="1A3A16F8" w14:textId="0983C4B6" w:rsidR="00B5004B" w:rsidRPr="00F84193" w:rsidRDefault="00B5004B" w:rsidP="00B5004B">
      <w:pPr>
        <w:pStyle w:val="Heading1"/>
      </w:pPr>
      <w:bookmarkStart w:id="37" w:name="_Toc230896256"/>
      <w:r>
        <w:t>A national, multidisciplinary research ecosystem</w:t>
      </w:r>
      <w:bookmarkEnd w:id="37"/>
    </w:p>
    <w:p w14:paraId="32D25944" w14:textId="7722B4EC" w:rsidR="2A43829A" w:rsidRPr="00AB7624" w:rsidRDefault="2A43829A" w:rsidP="00B5004B">
      <w:pPr>
        <w:spacing w:before="240" w:after="240"/>
        <w:rPr>
          <w:b/>
          <w:bCs/>
        </w:rPr>
      </w:pPr>
      <w:r w:rsidRPr="00AB7624">
        <w:rPr>
          <w:b/>
          <w:bCs/>
        </w:rPr>
        <w:t>Recommendation:</w:t>
      </w:r>
      <w:r w:rsidR="004B6311" w:rsidRPr="00AB7624">
        <w:rPr>
          <w:b/>
          <w:bCs/>
        </w:rPr>
        <w:t xml:space="preserve"> </w:t>
      </w:r>
      <w:r w:rsidR="5D9801D2" w:rsidRPr="00AB7624">
        <w:rPr>
          <w:b/>
          <w:bCs/>
        </w:rPr>
        <w:t xml:space="preserve">Support a </w:t>
      </w:r>
      <w:r w:rsidR="00573A69">
        <w:rPr>
          <w:b/>
          <w:bCs/>
        </w:rPr>
        <w:t>n</w:t>
      </w:r>
      <w:r w:rsidR="5D9801D2" w:rsidRPr="00AB7624">
        <w:rPr>
          <w:b/>
          <w:bCs/>
        </w:rPr>
        <w:t xml:space="preserve">ational, </w:t>
      </w:r>
      <w:r w:rsidR="00573A69">
        <w:rPr>
          <w:b/>
          <w:bCs/>
        </w:rPr>
        <w:t>m</w:t>
      </w:r>
      <w:r w:rsidR="5D9801D2" w:rsidRPr="00AB7624">
        <w:rPr>
          <w:b/>
          <w:bCs/>
        </w:rPr>
        <w:t xml:space="preserve">ultidisciplinary </w:t>
      </w:r>
      <w:r w:rsidR="00573A69">
        <w:rPr>
          <w:b/>
          <w:bCs/>
        </w:rPr>
        <w:t>r</w:t>
      </w:r>
      <w:r w:rsidR="00B70332" w:rsidRPr="00AB7624">
        <w:rPr>
          <w:b/>
          <w:bCs/>
        </w:rPr>
        <w:t xml:space="preserve">esearch </w:t>
      </w:r>
      <w:r w:rsidR="00327925">
        <w:rPr>
          <w:b/>
          <w:bCs/>
        </w:rPr>
        <w:t>e</w:t>
      </w:r>
      <w:r w:rsidR="5D9801D2" w:rsidRPr="00AB7624">
        <w:rPr>
          <w:b/>
          <w:bCs/>
        </w:rPr>
        <w:t xml:space="preserve">cosystem for </w:t>
      </w:r>
      <w:r w:rsidR="00573A69">
        <w:rPr>
          <w:b/>
          <w:bCs/>
        </w:rPr>
        <w:t>m</w:t>
      </w:r>
      <w:r w:rsidR="5D9801D2" w:rsidRPr="00AB7624">
        <w:rPr>
          <w:b/>
          <w:bCs/>
        </w:rPr>
        <w:t xml:space="preserve">onitoring the </w:t>
      </w:r>
      <w:r w:rsidR="00573A69">
        <w:rPr>
          <w:b/>
          <w:bCs/>
        </w:rPr>
        <w:t>i</w:t>
      </w:r>
      <w:r w:rsidR="5D9801D2" w:rsidRPr="00AB7624">
        <w:rPr>
          <w:b/>
          <w:bCs/>
        </w:rPr>
        <w:t>mpacts of the Code</w:t>
      </w:r>
    </w:p>
    <w:p w14:paraId="73EE0327" w14:textId="619CA715" w:rsidR="14B80630" w:rsidRDefault="14B80630" w:rsidP="00CC3D73">
      <w:pPr>
        <w:pStyle w:val="Heading1"/>
        <w:spacing w:before="240" w:after="240" w:line="259" w:lineRule="auto"/>
      </w:pPr>
      <w:bookmarkStart w:id="38" w:name="_Toc230895719"/>
      <w:bookmarkStart w:id="39" w:name="_Toc230895974"/>
      <w:bookmarkStart w:id="40" w:name="_Toc230896257"/>
      <w:r w:rsidRPr="412719D2">
        <w:rPr>
          <w:sz w:val="22"/>
          <w:szCs w:val="22"/>
        </w:rPr>
        <w:t xml:space="preserve">Given the complexity of the Code in its interpretation and application, and the potential for uneven and unintended impacts across populations, </w:t>
      </w:r>
      <w:r w:rsidRPr="002539D9">
        <w:rPr>
          <w:b/>
          <w:bCs/>
          <w:sz w:val="22"/>
          <w:szCs w:val="22"/>
        </w:rPr>
        <w:t>we recommend that the Government support the development of a coordinated, national research ecosystem to generate independent evidence on the impacts of the Code over time</w:t>
      </w:r>
      <w:r w:rsidRPr="412719D2">
        <w:rPr>
          <w:sz w:val="22"/>
          <w:szCs w:val="22"/>
        </w:rPr>
        <w:t xml:space="preserve">. Rather than relying on a single institution or group, this could be enabled through targeted funding mechanisms (e.g., ARC schemes or commissioned programs) that engage multiple public universities and cross-sector partners. Such an approach should explicitly support multidisciplinary research, spanning areas such as health, </w:t>
      </w:r>
      <w:r w:rsidR="3269AC37" w:rsidRPr="412719D2">
        <w:rPr>
          <w:sz w:val="22"/>
          <w:szCs w:val="22"/>
        </w:rPr>
        <w:t xml:space="preserve">communication sciences, law, design, </w:t>
      </w:r>
      <w:r w:rsidRPr="412719D2">
        <w:rPr>
          <w:sz w:val="22"/>
          <w:szCs w:val="22"/>
        </w:rPr>
        <w:t>technology</w:t>
      </w:r>
      <w:r w:rsidR="3B3E6A03" w:rsidRPr="412719D2">
        <w:rPr>
          <w:sz w:val="22"/>
          <w:szCs w:val="22"/>
        </w:rPr>
        <w:t xml:space="preserve">, </w:t>
      </w:r>
      <w:r w:rsidRPr="412719D2">
        <w:rPr>
          <w:sz w:val="22"/>
          <w:szCs w:val="22"/>
        </w:rPr>
        <w:t xml:space="preserve">and employ diverse methodological approaches, including those that centre </w:t>
      </w:r>
      <w:proofErr w:type="spellStart"/>
      <w:r w:rsidRPr="412719D2">
        <w:rPr>
          <w:sz w:val="22"/>
          <w:szCs w:val="22"/>
        </w:rPr>
        <w:t>the</w:t>
      </w:r>
      <w:proofErr w:type="spellEnd"/>
      <w:r w:rsidRPr="412719D2">
        <w:rPr>
          <w:sz w:val="22"/>
          <w:szCs w:val="22"/>
        </w:rPr>
        <w:t xml:space="preserve"> lived experiences of children, young people, and their support networks. This is critical to identifying unintended consequences, understanding differential impacts across populations, and ensuring that the implementation of the Code remains aligned with human rights and children’s rights, without disproportionately disadvantaging certain groups.</w:t>
      </w:r>
      <w:bookmarkEnd w:id="38"/>
      <w:bookmarkEnd w:id="39"/>
      <w:bookmarkEnd w:id="40"/>
    </w:p>
    <w:p w14:paraId="73276956" w14:textId="77777777" w:rsidR="000E0AFA" w:rsidRDefault="000E0AFA" w:rsidP="4CB4B2B0">
      <w:pPr>
        <w:spacing w:before="240" w:after="240" w:line="259" w:lineRule="auto"/>
        <w:rPr>
          <w:color w:val="0A0A0A"/>
          <w:sz w:val="24"/>
          <w:szCs w:val="24"/>
        </w:rPr>
      </w:pPr>
    </w:p>
    <w:p w14:paraId="41C88F60" w14:textId="53DBA728" w:rsidR="009E7D1B" w:rsidRDefault="009E7D1B">
      <w:pPr>
        <w:pStyle w:val="BodyText"/>
        <w:spacing w:before="77"/>
        <w:rPr>
          <w:sz w:val="20"/>
        </w:rPr>
      </w:pPr>
      <w:bookmarkStart w:id="41" w:name="_TOC_250000"/>
      <w:bookmarkEnd w:id="41"/>
    </w:p>
    <w:sectPr w:rsidR="009E7D1B">
      <w:footerReference w:type="default" r:id="rId12"/>
      <w:pgSz w:w="11910" w:h="16820"/>
      <w:pgMar w:top="1380" w:right="1417" w:bottom="280" w:left="170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0AC07" w14:textId="77777777" w:rsidR="00767227" w:rsidRDefault="00767227">
      <w:r>
        <w:separator/>
      </w:r>
    </w:p>
  </w:endnote>
  <w:endnote w:type="continuationSeparator" w:id="0">
    <w:p w14:paraId="768525CE" w14:textId="77777777" w:rsidR="00767227" w:rsidRDefault="007672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erriweather Sans">
    <w:panose1 w:val="00000000000000000000"/>
    <w:charset w:val="00"/>
    <w:family w:val="auto"/>
    <w:pitch w:val="variable"/>
    <w:sig w:usb0="A00004FF" w:usb1="4000207B" w:usb2="00000000" w:usb3="00000000" w:csb0="00000193" w:csb1="00000000"/>
  </w:font>
  <w:font w:name="-webkit-standard">
    <w:altName w:val="Cambria"/>
    <w:panose1 w:val="020B0604020202020204"/>
    <w:charset w:val="00"/>
    <w:family w:val="roman"/>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44703070"/>
      <w:docPartObj>
        <w:docPartGallery w:val="Page Numbers (Bottom of Page)"/>
        <w:docPartUnique/>
      </w:docPartObj>
    </w:sdtPr>
    <w:sdtContent>
      <w:p w14:paraId="00CFBD91" w14:textId="15EC3799" w:rsidR="002C3CC9" w:rsidRDefault="002C3CC9" w:rsidP="00F3459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0CDC372" w14:textId="77777777" w:rsidR="002C3CC9" w:rsidRDefault="002C3CC9" w:rsidP="002C3CC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E4659E" w14:textId="194670E3" w:rsidR="509369D7" w:rsidRDefault="509369D7" w:rsidP="509369D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2930"/>
      <w:gridCol w:w="2930"/>
      <w:gridCol w:w="2930"/>
    </w:tblGrid>
    <w:tr w:rsidR="509369D7" w14:paraId="0475AEB1" w14:textId="77777777" w:rsidTr="509369D7">
      <w:trPr>
        <w:trHeight w:val="300"/>
      </w:trPr>
      <w:tc>
        <w:tcPr>
          <w:tcW w:w="2930" w:type="dxa"/>
        </w:tcPr>
        <w:p w14:paraId="7FDEBB4B" w14:textId="356A0A8C" w:rsidR="509369D7" w:rsidRDefault="509369D7" w:rsidP="509369D7">
          <w:pPr>
            <w:pStyle w:val="Header"/>
            <w:ind w:left="-115"/>
          </w:pPr>
        </w:p>
      </w:tc>
      <w:tc>
        <w:tcPr>
          <w:tcW w:w="2930" w:type="dxa"/>
        </w:tcPr>
        <w:p w14:paraId="573E1813" w14:textId="23F6A7B9" w:rsidR="509369D7" w:rsidRDefault="509369D7" w:rsidP="509369D7">
          <w:pPr>
            <w:pStyle w:val="Header"/>
            <w:jc w:val="center"/>
          </w:pPr>
        </w:p>
      </w:tc>
      <w:tc>
        <w:tcPr>
          <w:tcW w:w="2930" w:type="dxa"/>
        </w:tcPr>
        <w:p w14:paraId="116C58F3" w14:textId="369A3492" w:rsidR="509369D7" w:rsidRDefault="509369D7" w:rsidP="509369D7">
          <w:pPr>
            <w:pStyle w:val="Header"/>
            <w:ind w:right="-115"/>
            <w:jc w:val="right"/>
          </w:pPr>
        </w:p>
      </w:tc>
    </w:tr>
  </w:tbl>
  <w:p w14:paraId="04797410" w14:textId="6E42CF9B" w:rsidR="509369D7" w:rsidRDefault="509369D7" w:rsidP="509369D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925718206"/>
      <w:docPartObj>
        <w:docPartGallery w:val="Page Numbers (Bottom of Page)"/>
        <w:docPartUnique/>
      </w:docPartObj>
    </w:sdtPr>
    <w:sdtContent>
      <w:p w14:paraId="0E3B334F" w14:textId="4726BC02" w:rsidR="002C3CC9" w:rsidRDefault="002C3CC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16</w:t>
        </w:r>
        <w:r>
          <w:rPr>
            <w:rStyle w:val="PageNumber"/>
          </w:rPr>
          <w:fldChar w:fldCharType="end"/>
        </w:r>
      </w:p>
    </w:sdtContent>
  </w:sdt>
  <w:tbl>
    <w:tblPr>
      <w:tblW w:w="0" w:type="auto"/>
      <w:tblLook w:val="06A0" w:firstRow="1" w:lastRow="0" w:firstColumn="1" w:lastColumn="0" w:noHBand="1" w:noVBand="1"/>
    </w:tblPr>
    <w:tblGrid>
      <w:gridCol w:w="2930"/>
      <w:gridCol w:w="2930"/>
      <w:gridCol w:w="2930"/>
    </w:tblGrid>
    <w:tr w:rsidR="509369D7" w14:paraId="3B98E77B" w14:textId="77777777" w:rsidTr="509369D7">
      <w:trPr>
        <w:trHeight w:val="300"/>
      </w:trPr>
      <w:tc>
        <w:tcPr>
          <w:tcW w:w="2930" w:type="dxa"/>
        </w:tcPr>
        <w:p w14:paraId="6CC91DE4" w14:textId="43E91CC7" w:rsidR="509369D7" w:rsidRDefault="509369D7" w:rsidP="002C3CC9">
          <w:pPr>
            <w:pStyle w:val="Header"/>
            <w:ind w:left="-115" w:right="360"/>
          </w:pPr>
        </w:p>
      </w:tc>
      <w:tc>
        <w:tcPr>
          <w:tcW w:w="2930" w:type="dxa"/>
        </w:tcPr>
        <w:p w14:paraId="39DE935A" w14:textId="0530F9B1" w:rsidR="509369D7" w:rsidRDefault="509369D7" w:rsidP="509369D7">
          <w:pPr>
            <w:pStyle w:val="Header"/>
            <w:jc w:val="center"/>
          </w:pPr>
        </w:p>
      </w:tc>
      <w:tc>
        <w:tcPr>
          <w:tcW w:w="2930" w:type="dxa"/>
        </w:tcPr>
        <w:p w14:paraId="791F2ACF" w14:textId="60543501" w:rsidR="509369D7" w:rsidRDefault="509369D7" w:rsidP="509369D7">
          <w:pPr>
            <w:pStyle w:val="Header"/>
            <w:ind w:right="-115"/>
            <w:jc w:val="right"/>
          </w:pPr>
        </w:p>
      </w:tc>
    </w:tr>
  </w:tbl>
  <w:p w14:paraId="2D2A9A58" w14:textId="1C82ADCF" w:rsidR="509369D7" w:rsidRDefault="509369D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186FBB" w14:textId="77777777" w:rsidR="00767227" w:rsidRDefault="00767227">
      <w:r>
        <w:separator/>
      </w:r>
    </w:p>
  </w:footnote>
  <w:footnote w:type="continuationSeparator" w:id="0">
    <w:p w14:paraId="3C4920C4" w14:textId="77777777" w:rsidR="00767227" w:rsidRDefault="00767227">
      <w:r>
        <w:continuationSeparator/>
      </w:r>
    </w:p>
  </w:footnote>
  <w:footnote w:id="1">
    <w:p w14:paraId="3A5469ED" w14:textId="5E7F7482" w:rsidR="3CE6C83F" w:rsidRPr="00402DD0" w:rsidRDefault="3CE6C83F" w:rsidP="3CE6C83F">
      <w:pPr>
        <w:pStyle w:val="FootnoteText"/>
        <w:rPr>
          <w:sz w:val="18"/>
          <w:szCs w:val="18"/>
        </w:rPr>
      </w:pPr>
      <w:r w:rsidRPr="00402DD0">
        <w:rPr>
          <w:rStyle w:val="FootnoteReference"/>
          <w:sz w:val="18"/>
          <w:szCs w:val="18"/>
        </w:rPr>
        <w:footnoteRef/>
      </w:r>
      <w:r w:rsidRPr="00402DD0">
        <w:rPr>
          <w:sz w:val="18"/>
          <w:szCs w:val="18"/>
        </w:rPr>
        <w:t xml:space="preserve"> Eline L. Leijten, Simone van der Hof, Dissecting the commercial profiling of children: A proposed taxonomy and assessment of the GDPR, UCPD, DSA and AI Act in light of the precautionary principle, Computer Law &amp; Security Review, Volume 57, 2025</w:t>
      </w:r>
    </w:p>
    <w:p w14:paraId="44BF8BB2" w14:textId="2ECD8EB0" w:rsidR="3CE6C83F" w:rsidRPr="00402DD0" w:rsidRDefault="3CE6C83F" w:rsidP="3CE6C83F">
      <w:pPr>
        <w:rPr>
          <w:sz w:val="18"/>
          <w:szCs w:val="18"/>
        </w:rPr>
      </w:pPr>
      <w:hyperlink r:id="rId1">
        <w:r w:rsidRPr="00402DD0">
          <w:rPr>
            <w:rStyle w:val="Hyperlink"/>
            <w:sz w:val="18"/>
            <w:szCs w:val="18"/>
          </w:rPr>
          <w:t>https://doi.org/10.1016/j.clsr.2025.106143</w:t>
        </w:r>
      </w:hyperlink>
      <w:r w:rsidRPr="00402DD0">
        <w:rPr>
          <w:sz w:val="18"/>
          <w:szCs w:val="18"/>
        </w:rPr>
        <w:t>.</w:t>
      </w:r>
    </w:p>
  </w:footnote>
  <w:footnote w:id="2">
    <w:p w14:paraId="4DA09703" w14:textId="239A475B" w:rsidR="30F0DD3C" w:rsidRPr="00402DD0" w:rsidRDefault="30F0DD3C" w:rsidP="00605FE8">
      <w:pPr>
        <w:pStyle w:val="FootnoteText"/>
        <w:shd w:val="clear" w:color="auto" w:fill="FFFFFF" w:themeFill="background1"/>
        <w:rPr>
          <w:sz w:val="18"/>
          <w:szCs w:val="18"/>
        </w:rPr>
      </w:pPr>
      <w:r w:rsidRPr="00402DD0">
        <w:rPr>
          <w:rStyle w:val="FootnoteReference"/>
          <w:sz w:val="18"/>
          <w:szCs w:val="18"/>
        </w:rPr>
        <w:footnoteRef/>
      </w:r>
      <w:r w:rsidRPr="00402DD0">
        <w:rPr>
          <w:sz w:val="18"/>
          <w:szCs w:val="18"/>
        </w:rPr>
        <w:t xml:space="preserve"> </w:t>
      </w:r>
      <w:r w:rsidRPr="00402DD0">
        <w:rPr>
          <w:rFonts w:eastAsia="Merriweather Sans"/>
          <w:color w:val="222222"/>
          <w:sz w:val="18"/>
          <w:szCs w:val="18"/>
        </w:rPr>
        <w:t xml:space="preserve">Gray, J.E., Carter, M., Egliston, B. (2024). Designing for Safety, Privacy and Inclusivity in Social VR. In: Governing Social Virtual Reality. Palgrave Macmillan, Cham. </w:t>
      </w:r>
      <w:hyperlink r:id="rId2">
        <w:r w:rsidRPr="00402DD0">
          <w:rPr>
            <w:rStyle w:val="Hyperlink"/>
            <w:rFonts w:eastAsia="Merriweather Sans"/>
            <w:sz w:val="18"/>
            <w:szCs w:val="18"/>
          </w:rPr>
          <w:t>https://doi.org/10.1007/978-3-031-61831-4_5</w:t>
        </w:r>
      </w:hyperlink>
      <w:r w:rsidRPr="00402DD0">
        <w:rPr>
          <w:rFonts w:eastAsia="Merriweather Sans"/>
          <w:sz w:val="18"/>
          <w:szCs w:val="18"/>
        </w:rPr>
        <w:t xml:space="preserve"> </w:t>
      </w:r>
    </w:p>
  </w:footnote>
  <w:footnote w:id="3">
    <w:p w14:paraId="666B8A3B" w14:textId="6CD8509F" w:rsidR="3CE6C83F" w:rsidRDefault="3CE6C83F" w:rsidP="3CE6C83F">
      <w:pPr>
        <w:pStyle w:val="FootnoteText"/>
      </w:pPr>
      <w:r w:rsidRPr="00402DD0">
        <w:rPr>
          <w:rStyle w:val="FootnoteReference"/>
          <w:sz w:val="18"/>
          <w:szCs w:val="18"/>
        </w:rPr>
        <w:footnoteRef/>
      </w:r>
      <w:r w:rsidRPr="00402DD0">
        <w:rPr>
          <w:sz w:val="18"/>
          <w:szCs w:val="18"/>
        </w:rPr>
        <w:t xml:space="preserve"> </w:t>
      </w:r>
      <w:hyperlink r:id="rId3">
        <w:r w:rsidRPr="00402DD0">
          <w:rPr>
            <w:rStyle w:val="Hyperlink"/>
            <w:sz w:val="18"/>
            <w:szCs w:val="18"/>
          </w:rPr>
          <w:t>https://www.accc.gov.au/inquiries-and-consultations/finalised-inquiries/digital-platform-services-inquiry-2020-25/march-2021-interim-report</w:t>
        </w:r>
      </w:hyperlink>
      <w:r>
        <w:t xml:space="preserve"> </w:t>
      </w:r>
    </w:p>
  </w:footnote>
  <w:footnote w:id="4">
    <w:p w14:paraId="75EA2B63" w14:textId="493A734E" w:rsidR="3CE6C83F" w:rsidRPr="00402DD0" w:rsidRDefault="3CE6C83F" w:rsidP="3CE6C83F">
      <w:pPr>
        <w:pStyle w:val="FootnoteText"/>
        <w:rPr>
          <w:sz w:val="18"/>
          <w:szCs w:val="18"/>
        </w:rPr>
      </w:pPr>
      <w:r w:rsidRPr="00402DD0">
        <w:rPr>
          <w:rStyle w:val="FootnoteReference"/>
          <w:sz w:val="18"/>
          <w:szCs w:val="18"/>
        </w:rPr>
        <w:footnoteRef/>
      </w:r>
      <w:r w:rsidRPr="00402DD0">
        <w:rPr>
          <w:sz w:val="18"/>
          <w:szCs w:val="18"/>
        </w:rPr>
        <w:t xml:space="preserve"> </w:t>
      </w:r>
      <w:hyperlink r:id="rId4">
        <w:r w:rsidRPr="00402DD0">
          <w:rPr>
            <w:rStyle w:val="Hyperlink"/>
            <w:sz w:val="18"/>
            <w:szCs w:val="18"/>
          </w:rPr>
          <w:t>https://www.ftc.gov/news-events/news/press-releases/2025/01/ftc-finalizes-changes-childrens-privacy-rule-limiting-companies-ability-monetize-kids-data</w:t>
        </w:r>
      </w:hyperlink>
      <w:r w:rsidRPr="00402DD0">
        <w:rPr>
          <w:sz w:val="18"/>
          <w:szCs w:val="18"/>
        </w:rPr>
        <w:t xml:space="preserve"> </w:t>
      </w:r>
    </w:p>
  </w:footnote>
  <w:footnote w:id="5">
    <w:p w14:paraId="2BA4BD36" w14:textId="76DFA633" w:rsidR="71B16DE9" w:rsidRPr="00402DD0" w:rsidRDefault="71B16DE9" w:rsidP="71B16DE9">
      <w:pPr>
        <w:pStyle w:val="FootnoteText"/>
        <w:rPr>
          <w:sz w:val="18"/>
          <w:szCs w:val="18"/>
        </w:rPr>
      </w:pPr>
      <w:r w:rsidRPr="00402DD0">
        <w:rPr>
          <w:rStyle w:val="FootnoteReference"/>
          <w:sz w:val="18"/>
          <w:szCs w:val="18"/>
        </w:rPr>
        <w:footnoteRef/>
      </w:r>
      <w:r w:rsidRPr="00402DD0">
        <w:rPr>
          <w:sz w:val="18"/>
          <w:szCs w:val="18"/>
        </w:rPr>
        <w:t xml:space="preserve"> See e.g., Obar, J. A., &amp; Oeldorf-Hirsch, A. (2018). The Clickwrap: A Political Economic Mechanism for Manufacturing Consent on Social Media. Social Media + Society, 4(3).</w:t>
      </w:r>
    </w:p>
  </w:footnote>
  <w:footnote w:id="6">
    <w:p w14:paraId="1780D6E8" w14:textId="48002BFE" w:rsidR="028270E8" w:rsidRPr="00402DD0" w:rsidRDefault="028270E8" w:rsidP="028270E8">
      <w:pPr>
        <w:pStyle w:val="FootnoteText"/>
        <w:rPr>
          <w:sz w:val="18"/>
          <w:szCs w:val="18"/>
          <w:lang w:val="en-AU"/>
        </w:rPr>
      </w:pPr>
      <w:r w:rsidRPr="00402DD0">
        <w:rPr>
          <w:rStyle w:val="FootnoteReference"/>
          <w:sz w:val="18"/>
          <w:szCs w:val="18"/>
        </w:rPr>
        <w:footnoteRef/>
      </w:r>
      <w:r w:rsidRPr="00402DD0">
        <w:rPr>
          <w:sz w:val="18"/>
          <w:szCs w:val="18"/>
        </w:rPr>
        <w:t xml:space="preserve"> Goggin, G., &amp; Ellis, K. (2020). Privacy and Digital Data of Children with Disabilities: Scenes from Social Media Sharenting. </w:t>
      </w:r>
      <w:r w:rsidRPr="00402DD0">
        <w:rPr>
          <w:rStyle w:val="Emphasis"/>
          <w:sz w:val="18"/>
          <w:szCs w:val="18"/>
        </w:rPr>
        <w:t>Media and Communication, 8</w:t>
      </w:r>
      <w:r w:rsidRPr="00402DD0">
        <w:rPr>
          <w:sz w:val="18"/>
          <w:szCs w:val="18"/>
        </w:rPr>
        <w:t xml:space="preserve">(4), 218–228. </w:t>
      </w:r>
      <w:hyperlink r:id="rId5">
        <w:r w:rsidRPr="00402DD0">
          <w:rPr>
            <w:rStyle w:val="Hyperlink"/>
            <w:sz w:val="18"/>
            <w:szCs w:val="18"/>
          </w:rPr>
          <w:t>https://doi.org/10.17645/mac.v8i4.3350</w:t>
        </w:r>
      </w:hyperlink>
    </w:p>
  </w:footnote>
  <w:footnote w:id="7">
    <w:p w14:paraId="6763E3D3" w14:textId="475B18A6" w:rsidR="028270E8" w:rsidRDefault="028270E8" w:rsidP="028270E8">
      <w:pPr>
        <w:pStyle w:val="FootnoteText"/>
        <w:rPr>
          <w:lang w:val="en-AU"/>
        </w:rPr>
      </w:pPr>
      <w:r w:rsidRPr="00402DD0">
        <w:rPr>
          <w:rStyle w:val="FootnoteReference"/>
          <w:sz w:val="18"/>
          <w:szCs w:val="18"/>
        </w:rPr>
        <w:footnoteRef/>
      </w:r>
      <w:r w:rsidRPr="00402DD0">
        <w:rPr>
          <w:sz w:val="18"/>
          <w:szCs w:val="18"/>
        </w:rPr>
        <w:t xml:space="preserve"> Alper, M., &amp; Goggin, G. (2017). Digital technology and rights in the lives of children with disabilities. </w:t>
      </w:r>
      <w:r w:rsidRPr="00402DD0">
        <w:rPr>
          <w:i/>
          <w:iCs/>
          <w:sz w:val="18"/>
          <w:szCs w:val="18"/>
        </w:rPr>
        <w:t>New Media &amp; Society</w:t>
      </w:r>
      <w:r w:rsidRPr="00402DD0">
        <w:rPr>
          <w:sz w:val="18"/>
          <w:szCs w:val="18"/>
        </w:rPr>
        <w:t xml:space="preserve">, 19(5), 726–740. </w:t>
      </w:r>
      <w:hyperlink r:id="rId6">
        <w:r w:rsidRPr="00402DD0">
          <w:rPr>
            <w:rStyle w:val="Hyperlink"/>
            <w:sz w:val="18"/>
            <w:szCs w:val="18"/>
          </w:rPr>
          <w:t>https://doi.org/10.1177/1461444816686323</w:t>
        </w:r>
      </w:hyperlink>
      <w:r w:rsidRPr="00402DD0">
        <w:rPr>
          <w:sz w:val="18"/>
          <w:szCs w:val="18"/>
        </w:rPr>
        <w:t>.</w:t>
      </w:r>
      <w:r>
        <w:t xml:space="preserve"> </w:t>
      </w:r>
    </w:p>
  </w:footnote>
  <w:footnote w:id="8">
    <w:p w14:paraId="376495AF" w14:textId="22592F2C" w:rsidR="0025578D" w:rsidRPr="00730B2D" w:rsidRDefault="00213AAF">
      <w:pPr>
        <w:pStyle w:val="FootnoteText"/>
        <w:rPr>
          <w:color w:val="0A0A0A"/>
        </w:rPr>
      </w:pPr>
      <w:r>
        <w:rPr>
          <w:rStyle w:val="FootnoteReference"/>
        </w:rPr>
        <w:footnoteRef/>
      </w:r>
      <w:r>
        <w:t xml:space="preserve"> </w:t>
      </w:r>
      <w:hyperlink r:id="rId7" w:history="1">
        <w:r w:rsidR="0025578D" w:rsidRPr="00730B2D">
          <w:rPr>
            <w:rStyle w:val="Hyperlink"/>
          </w:rPr>
          <w:t>https://ia.acs.org.au/article/2025/discord-breach-hits-68-000-australians.html</w:t>
        </w:r>
      </w:hyperlink>
    </w:p>
  </w:footnote>
  <w:footnote w:id="9">
    <w:p w14:paraId="07A931BB" w14:textId="77777777" w:rsidR="00B30075" w:rsidRPr="00954C0F" w:rsidRDefault="00B30075" w:rsidP="00B30075">
      <w:pPr>
        <w:pStyle w:val="FootnoteText"/>
      </w:pPr>
      <w:r>
        <w:rPr>
          <w:rStyle w:val="FootnoteReference"/>
        </w:rPr>
        <w:footnoteRef/>
      </w:r>
      <w:r>
        <w:t xml:space="preserve"> </w:t>
      </w:r>
      <w:hyperlink r:id="rId8" w:history="1">
        <w:r w:rsidRPr="00AF244A">
          <w:rPr>
            <w:rStyle w:val="Hyperlink"/>
          </w:rPr>
          <w:t>https://www.infrastructure.gov.au/department/media/publications/age-assurance-technology-trial-final-report</w:t>
        </w:r>
      </w:hyperlink>
    </w:p>
  </w:footnote>
  <w:footnote w:id="10">
    <w:p w14:paraId="69BB8F85" w14:textId="77777777" w:rsidR="00720E36" w:rsidRPr="00723949" w:rsidRDefault="00720E36" w:rsidP="00720E36">
      <w:pPr>
        <w:pStyle w:val="FootnoteText"/>
        <w:rPr>
          <w:sz w:val="18"/>
          <w:szCs w:val="18"/>
        </w:rPr>
      </w:pPr>
      <w:r w:rsidRPr="00723949">
        <w:rPr>
          <w:rStyle w:val="FootnoteReference"/>
          <w:sz w:val="18"/>
          <w:szCs w:val="18"/>
        </w:rPr>
        <w:footnoteRef/>
      </w:r>
      <w:r w:rsidRPr="00723949">
        <w:rPr>
          <w:sz w:val="18"/>
          <w:szCs w:val="18"/>
        </w:rPr>
        <w:t xml:space="preserve"> </w:t>
      </w:r>
      <w:hyperlink r:id="rId9" w:history="1">
        <w:r w:rsidRPr="00723949">
          <w:rPr>
            <w:rStyle w:val="Hyperlink"/>
            <w:sz w:val="18"/>
            <w:szCs w:val="18"/>
          </w:rPr>
          <w:t>https://www.scientificamerican.com/article/what-the-meta-and-google-verdict-means-for-social-media-design/</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C88F68" w14:textId="647E7F4D" w:rsidR="009E7D1B" w:rsidRDefault="00BC42E7">
    <w:pPr>
      <w:pStyle w:val="BodyText"/>
      <w:spacing w:line="14" w:lineRule="auto"/>
      <w:rPr>
        <w:sz w:val="20"/>
        <w:szCs w:val="20"/>
      </w:rPr>
    </w:pPr>
    <w:r>
      <w:rPr>
        <w:noProof/>
        <w:sz w:val="20"/>
      </w:rPr>
      <mc:AlternateContent>
        <mc:Choice Requires="wps">
          <w:drawing>
            <wp:anchor distT="0" distB="0" distL="0" distR="0" simplePos="0" relativeHeight="251658240" behindDoc="1" locked="0" layoutInCell="1" allowOverlap="1" wp14:anchorId="63E68AA2" wp14:editId="74A25572">
              <wp:simplePos x="0" y="0"/>
              <wp:positionH relativeFrom="page">
                <wp:posOffset>1993900</wp:posOffset>
              </wp:positionH>
              <wp:positionV relativeFrom="page">
                <wp:posOffset>55659</wp:posOffset>
              </wp:positionV>
              <wp:extent cx="3967701" cy="469127"/>
              <wp:effectExtent l="0" t="0" r="0" b="0"/>
              <wp:wrapNone/>
              <wp:docPr id="379552384"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67701" cy="469127"/>
                      </a:xfrm>
                      <a:prstGeom prst="rect">
                        <a:avLst/>
                      </a:prstGeom>
                    </wps:spPr>
                    <wps:txbx>
                      <w:txbxContent>
                        <w:p w14:paraId="0E86CD4B" w14:textId="75BA4BB0" w:rsidR="00BC42E7" w:rsidRPr="00787F78" w:rsidRDefault="00BC42E7" w:rsidP="00BC42E7">
                          <w:pPr>
                            <w:jc w:val="center"/>
                            <w:rPr>
                              <w:sz w:val="18"/>
                              <w:szCs w:val="18"/>
                              <w:lang w:val="en-AU"/>
                            </w:rPr>
                          </w:pPr>
                          <w:r w:rsidRPr="00787F78">
                            <w:rPr>
                              <w:sz w:val="18"/>
                              <w:szCs w:val="18"/>
                              <w:lang w:val="en-AU"/>
                            </w:rPr>
                            <w:t xml:space="preserve">Submission to the Office of the Australian Information Commissioner on the </w:t>
                          </w:r>
                          <w:r w:rsidRPr="00787F78">
                            <w:rPr>
                              <w:sz w:val="18"/>
                              <w:szCs w:val="18"/>
                            </w:rPr>
                            <w:t>Exposure Draft of the Privacy (Children</w:t>
                          </w:r>
                          <w:r w:rsidR="005E76ED">
                            <w:rPr>
                              <w:sz w:val="18"/>
                              <w:szCs w:val="18"/>
                            </w:rPr>
                            <w:t>’</w:t>
                          </w:r>
                          <w:r w:rsidRPr="00787F78">
                            <w:rPr>
                              <w:sz w:val="18"/>
                              <w:szCs w:val="18"/>
                            </w:rPr>
                            <w:t>s Online Privacy) Code 2026 (the Children</w:t>
                          </w:r>
                          <w:r w:rsidR="005E76ED">
                            <w:rPr>
                              <w:sz w:val="18"/>
                              <w:szCs w:val="18"/>
                            </w:rPr>
                            <w:t>’</w:t>
                          </w:r>
                          <w:r w:rsidRPr="00787F78">
                            <w:rPr>
                              <w:sz w:val="18"/>
                              <w:szCs w:val="18"/>
                            </w:rPr>
                            <w:t>s Online Privacy Code)</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rto="http://schemas.microsoft.com/office/word/2006/arto">
          <w:pict>
            <v:shapetype id="_x0000_t202" coordsize="21600,21600" o:spt="202" path="m,l,21600r21600,l21600,xe" w14:anchorId="63E68AA2">
              <v:stroke joinstyle="miter"/>
              <v:path gradientshapeok="t" o:connecttype="rect"/>
            </v:shapetype>
            <v:shape id="Textbox 1" style="position:absolute;margin-left:157pt;margin-top:4.4pt;width:312.4pt;height:36.9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">
              <v:textbox inset="0,0,0,0">
                <w:txbxContent>
                  <w:p w:rsidRPr="00787F78" w:rsidR="00BC42E7" w:rsidP="00BC42E7" w:rsidRDefault="00BC42E7" w14:paraId="0E86CD4B" w14:textId="75BA4BB0">
                    <w:pPr>
                      <w:jc w:val="center"/>
                      <w:rPr>
                        <w:sz w:val="18"/>
                        <w:szCs w:val="18"/>
                        <w:lang w:val="en-AU"/>
                      </w:rPr>
                    </w:pPr>
                    <w:r w:rsidRPr="00787F78">
                      <w:rPr>
                        <w:sz w:val="18"/>
                        <w:szCs w:val="18"/>
                        <w:lang w:val="en-AU"/>
                      </w:rPr>
                      <w:t xml:space="preserve">Submission to the Office of the Australian Information Commissioner on the </w:t>
                    </w:r>
                    <w:r w:rsidRPr="00787F78">
                      <w:rPr>
                        <w:sz w:val="18"/>
                        <w:szCs w:val="18"/>
                      </w:rPr>
                      <w:t>Exposure Draft of the Privacy (Children</w:t>
                    </w:r>
                    <w:r w:rsidR="005E76ED">
                      <w:rPr>
                        <w:sz w:val="18"/>
                        <w:szCs w:val="18"/>
                      </w:rPr>
                      <w:t>’</w:t>
                    </w:r>
                    <w:r w:rsidRPr="00787F78">
                      <w:rPr>
                        <w:sz w:val="18"/>
                        <w:szCs w:val="18"/>
                      </w:rPr>
                      <w:t>s Online Privacy) Code 2026 (the Children</w:t>
                    </w:r>
                    <w:r w:rsidR="005E76ED">
                      <w:rPr>
                        <w:sz w:val="18"/>
                        <w:szCs w:val="18"/>
                      </w:rPr>
                      <w:t>’</w:t>
                    </w:r>
                    <w:r w:rsidRPr="00787F78">
                      <w:rPr>
                        <w:sz w:val="18"/>
                        <w:szCs w:val="18"/>
                      </w:rPr>
                      <w:t>s Online Privacy Code)</w:t>
                    </w:r>
                  </w:p>
                </w:txbxContent>
              </v:textbox>
              <w10:wrap anchorx="page" anchory="page"/>
            </v:shape>
          </w:pict>
        </mc:Fallback>
      </mc:AlternateConten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CC2160"/>
    <w:multiLevelType w:val="hybridMultilevel"/>
    <w:tmpl w:val="23062176"/>
    <w:lvl w:ilvl="0" w:tplc="009837EA">
      <w:start w:val="1"/>
      <w:numFmt w:val="decimal"/>
      <w:lvlText w:val="%1."/>
      <w:lvlJc w:val="left"/>
      <w:pPr>
        <w:ind w:left="817" w:hanging="360"/>
      </w:pPr>
      <w:rPr>
        <w:rFonts w:ascii="Arial" w:eastAsia="Arial" w:hAnsi="Arial" w:cs="Arial" w:hint="default"/>
        <w:b w:val="0"/>
        <w:bCs w:val="0"/>
        <w:i w:val="0"/>
        <w:iCs w:val="0"/>
        <w:spacing w:val="-1"/>
        <w:w w:val="100"/>
        <w:sz w:val="22"/>
        <w:szCs w:val="22"/>
        <w:lang w:val="en-US" w:eastAsia="en-US" w:bidi="ar-SA"/>
      </w:rPr>
    </w:lvl>
    <w:lvl w:ilvl="1" w:tplc="6044746A">
      <w:numFmt w:val="bullet"/>
      <w:lvlText w:val="•"/>
      <w:lvlJc w:val="left"/>
      <w:pPr>
        <w:ind w:left="1616" w:hanging="360"/>
      </w:pPr>
      <w:rPr>
        <w:rFonts w:hint="default"/>
        <w:lang w:val="en-US" w:eastAsia="en-US" w:bidi="ar-SA"/>
      </w:rPr>
    </w:lvl>
    <w:lvl w:ilvl="2" w:tplc="8D3EF802">
      <w:numFmt w:val="bullet"/>
      <w:lvlText w:val="•"/>
      <w:lvlJc w:val="left"/>
      <w:pPr>
        <w:ind w:left="2412" w:hanging="360"/>
      </w:pPr>
      <w:rPr>
        <w:rFonts w:hint="default"/>
        <w:lang w:val="en-US" w:eastAsia="en-US" w:bidi="ar-SA"/>
      </w:rPr>
    </w:lvl>
    <w:lvl w:ilvl="3" w:tplc="1E260476">
      <w:numFmt w:val="bullet"/>
      <w:lvlText w:val="•"/>
      <w:lvlJc w:val="left"/>
      <w:pPr>
        <w:ind w:left="3209" w:hanging="360"/>
      </w:pPr>
      <w:rPr>
        <w:rFonts w:hint="default"/>
        <w:lang w:val="en-US" w:eastAsia="en-US" w:bidi="ar-SA"/>
      </w:rPr>
    </w:lvl>
    <w:lvl w:ilvl="4" w:tplc="762AB244">
      <w:numFmt w:val="bullet"/>
      <w:lvlText w:val="•"/>
      <w:lvlJc w:val="left"/>
      <w:pPr>
        <w:ind w:left="4005" w:hanging="360"/>
      </w:pPr>
      <w:rPr>
        <w:rFonts w:hint="default"/>
        <w:lang w:val="en-US" w:eastAsia="en-US" w:bidi="ar-SA"/>
      </w:rPr>
    </w:lvl>
    <w:lvl w:ilvl="5" w:tplc="6386949A">
      <w:numFmt w:val="bullet"/>
      <w:lvlText w:val="•"/>
      <w:lvlJc w:val="left"/>
      <w:pPr>
        <w:ind w:left="4802" w:hanging="360"/>
      </w:pPr>
      <w:rPr>
        <w:rFonts w:hint="default"/>
        <w:lang w:val="en-US" w:eastAsia="en-US" w:bidi="ar-SA"/>
      </w:rPr>
    </w:lvl>
    <w:lvl w:ilvl="6" w:tplc="40C89A7E">
      <w:numFmt w:val="bullet"/>
      <w:lvlText w:val="•"/>
      <w:lvlJc w:val="left"/>
      <w:pPr>
        <w:ind w:left="5598" w:hanging="360"/>
      </w:pPr>
      <w:rPr>
        <w:rFonts w:hint="default"/>
        <w:lang w:val="en-US" w:eastAsia="en-US" w:bidi="ar-SA"/>
      </w:rPr>
    </w:lvl>
    <w:lvl w:ilvl="7" w:tplc="7E201484">
      <w:numFmt w:val="bullet"/>
      <w:lvlText w:val="•"/>
      <w:lvlJc w:val="left"/>
      <w:pPr>
        <w:ind w:left="6395" w:hanging="360"/>
      </w:pPr>
      <w:rPr>
        <w:rFonts w:hint="default"/>
        <w:lang w:val="en-US" w:eastAsia="en-US" w:bidi="ar-SA"/>
      </w:rPr>
    </w:lvl>
    <w:lvl w:ilvl="8" w:tplc="5AFE4E34">
      <w:numFmt w:val="bullet"/>
      <w:lvlText w:val="•"/>
      <w:lvlJc w:val="left"/>
      <w:pPr>
        <w:ind w:left="7191" w:hanging="360"/>
      </w:pPr>
      <w:rPr>
        <w:rFonts w:hint="default"/>
        <w:lang w:val="en-US" w:eastAsia="en-US" w:bidi="ar-SA"/>
      </w:rPr>
    </w:lvl>
  </w:abstractNum>
  <w:abstractNum w:abstractNumId="1" w15:restartNumberingAfterBreak="0">
    <w:nsid w:val="2D8B5B02"/>
    <w:multiLevelType w:val="hybridMultilevel"/>
    <w:tmpl w:val="4A88A6F4"/>
    <w:lvl w:ilvl="0" w:tplc="4FD4FE32">
      <w:numFmt w:val="bullet"/>
      <w:lvlText w:val="•"/>
      <w:lvlJc w:val="left"/>
      <w:pPr>
        <w:ind w:left="457" w:hanging="361"/>
      </w:pPr>
      <w:rPr>
        <w:rFonts w:ascii="Arial" w:eastAsia="Arial" w:hAnsi="Arial" w:cs="Arial" w:hint="default"/>
        <w:spacing w:val="0"/>
        <w:w w:val="131"/>
        <w:lang w:val="en-US" w:eastAsia="en-US" w:bidi="ar-SA"/>
      </w:rPr>
    </w:lvl>
    <w:lvl w:ilvl="1" w:tplc="4F54C288">
      <w:numFmt w:val="bullet"/>
      <w:lvlText w:val="•"/>
      <w:lvlJc w:val="left"/>
      <w:pPr>
        <w:ind w:left="1292" w:hanging="361"/>
      </w:pPr>
      <w:rPr>
        <w:rFonts w:hint="default"/>
        <w:lang w:val="en-US" w:eastAsia="en-US" w:bidi="ar-SA"/>
      </w:rPr>
    </w:lvl>
    <w:lvl w:ilvl="2" w:tplc="6F2A02DC">
      <w:numFmt w:val="bullet"/>
      <w:lvlText w:val="•"/>
      <w:lvlJc w:val="left"/>
      <w:pPr>
        <w:ind w:left="2124" w:hanging="361"/>
      </w:pPr>
      <w:rPr>
        <w:rFonts w:hint="default"/>
        <w:lang w:val="en-US" w:eastAsia="en-US" w:bidi="ar-SA"/>
      </w:rPr>
    </w:lvl>
    <w:lvl w:ilvl="3" w:tplc="F8207024">
      <w:numFmt w:val="bullet"/>
      <w:lvlText w:val="•"/>
      <w:lvlJc w:val="left"/>
      <w:pPr>
        <w:ind w:left="2957" w:hanging="361"/>
      </w:pPr>
      <w:rPr>
        <w:rFonts w:hint="default"/>
        <w:lang w:val="en-US" w:eastAsia="en-US" w:bidi="ar-SA"/>
      </w:rPr>
    </w:lvl>
    <w:lvl w:ilvl="4" w:tplc="993C35A4">
      <w:numFmt w:val="bullet"/>
      <w:lvlText w:val="•"/>
      <w:lvlJc w:val="left"/>
      <w:pPr>
        <w:ind w:left="3789" w:hanging="361"/>
      </w:pPr>
      <w:rPr>
        <w:rFonts w:hint="default"/>
        <w:lang w:val="en-US" w:eastAsia="en-US" w:bidi="ar-SA"/>
      </w:rPr>
    </w:lvl>
    <w:lvl w:ilvl="5" w:tplc="57328030">
      <w:numFmt w:val="bullet"/>
      <w:lvlText w:val="•"/>
      <w:lvlJc w:val="left"/>
      <w:pPr>
        <w:ind w:left="4622" w:hanging="361"/>
      </w:pPr>
      <w:rPr>
        <w:rFonts w:hint="default"/>
        <w:lang w:val="en-US" w:eastAsia="en-US" w:bidi="ar-SA"/>
      </w:rPr>
    </w:lvl>
    <w:lvl w:ilvl="6" w:tplc="3D0202B6">
      <w:numFmt w:val="bullet"/>
      <w:lvlText w:val="•"/>
      <w:lvlJc w:val="left"/>
      <w:pPr>
        <w:ind w:left="5454" w:hanging="361"/>
      </w:pPr>
      <w:rPr>
        <w:rFonts w:hint="default"/>
        <w:lang w:val="en-US" w:eastAsia="en-US" w:bidi="ar-SA"/>
      </w:rPr>
    </w:lvl>
    <w:lvl w:ilvl="7" w:tplc="37B81CF2">
      <w:numFmt w:val="bullet"/>
      <w:lvlText w:val="•"/>
      <w:lvlJc w:val="left"/>
      <w:pPr>
        <w:ind w:left="6287" w:hanging="361"/>
      </w:pPr>
      <w:rPr>
        <w:rFonts w:hint="default"/>
        <w:lang w:val="en-US" w:eastAsia="en-US" w:bidi="ar-SA"/>
      </w:rPr>
    </w:lvl>
    <w:lvl w:ilvl="8" w:tplc="DD383056">
      <w:numFmt w:val="bullet"/>
      <w:lvlText w:val="•"/>
      <w:lvlJc w:val="left"/>
      <w:pPr>
        <w:ind w:left="7119" w:hanging="361"/>
      </w:pPr>
      <w:rPr>
        <w:rFonts w:hint="default"/>
        <w:lang w:val="en-US" w:eastAsia="en-US" w:bidi="ar-SA"/>
      </w:rPr>
    </w:lvl>
  </w:abstractNum>
  <w:abstractNum w:abstractNumId="2" w15:restartNumberingAfterBreak="0">
    <w:nsid w:val="378E7E49"/>
    <w:multiLevelType w:val="hybridMultilevel"/>
    <w:tmpl w:val="34BEE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5F6379F"/>
    <w:multiLevelType w:val="hybridMultilevel"/>
    <w:tmpl w:val="21C4BB24"/>
    <w:lvl w:ilvl="0" w:tplc="09D6B068">
      <w:numFmt w:val="bullet"/>
      <w:lvlText w:val="•"/>
      <w:lvlJc w:val="left"/>
      <w:pPr>
        <w:ind w:left="817" w:hanging="361"/>
      </w:pPr>
      <w:rPr>
        <w:rFonts w:ascii="Arial" w:eastAsia="Arial" w:hAnsi="Arial" w:cs="Arial" w:hint="default"/>
        <w:b w:val="0"/>
        <w:bCs w:val="0"/>
        <w:i w:val="0"/>
        <w:iCs w:val="0"/>
        <w:spacing w:val="0"/>
        <w:w w:val="131"/>
        <w:sz w:val="22"/>
        <w:szCs w:val="22"/>
        <w:lang w:val="en-US" w:eastAsia="en-US" w:bidi="ar-SA"/>
      </w:rPr>
    </w:lvl>
    <w:lvl w:ilvl="1" w:tplc="15FA5602">
      <w:numFmt w:val="bullet"/>
      <w:lvlText w:val="•"/>
      <w:lvlJc w:val="left"/>
      <w:pPr>
        <w:ind w:left="1616" w:hanging="361"/>
      </w:pPr>
      <w:rPr>
        <w:rFonts w:hint="default"/>
        <w:lang w:val="en-US" w:eastAsia="en-US" w:bidi="ar-SA"/>
      </w:rPr>
    </w:lvl>
    <w:lvl w:ilvl="2" w:tplc="175C6E8E">
      <w:numFmt w:val="bullet"/>
      <w:lvlText w:val="•"/>
      <w:lvlJc w:val="left"/>
      <w:pPr>
        <w:ind w:left="2412" w:hanging="361"/>
      </w:pPr>
      <w:rPr>
        <w:rFonts w:hint="default"/>
        <w:lang w:val="en-US" w:eastAsia="en-US" w:bidi="ar-SA"/>
      </w:rPr>
    </w:lvl>
    <w:lvl w:ilvl="3" w:tplc="A68E067E">
      <w:numFmt w:val="bullet"/>
      <w:lvlText w:val="•"/>
      <w:lvlJc w:val="left"/>
      <w:pPr>
        <w:ind w:left="3209" w:hanging="361"/>
      </w:pPr>
      <w:rPr>
        <w:rFonts w:hint="default"/>
        <w:lang w:val="en-US" w:eastAsia="en-US" w:bidi="ar-SA"/>
      </w:rPr>
    </w:lvl>
    <w:lvl w:ilvl="4" w:tplc="7C4C0B1E">
      <w:numFmt w:val="bullet"/>
      <w:lvlText w:val="•"/>
      <w:lvlJc w:val="left"/>
      <w:pPr>
        <w:ind w:left="4005" w:hanging="361"/>
      </w:pPr>
      <w:rPr>
        <w:rFonts w:hint="default"/>
        <w:lang w:val="en-US" w:eastAsia="en-US" w:bidi="ar-SA"/>
      </w:rPr>
    </w:lvl>
    <w:lvl w:ilvl="5" w:tplc="C14AC8B0">
      <w:numFmt w:val="bullet"/>
      <w:lvlText w:val="•"/>
      <w:lvlJc w:val="left"/>
      <w:pPr>
        <w:ind w:left="4802" w:hanging="361"/>
      </w:pPr>
      <w:rPr>
        <w:rFonts w:hint="default"/>
        <w:lang w:val="en-US" w:eastAsia="en-US" w:bidi="ar-SA"/>
      </w:rPr>
    </w:lvl>
    <w:lvl w:ilvl="6" w:tplc="8FB0F35A">
      <w:numFmt w:val="bullet"/>
      <w:lvlText w:val="•"/>
      <w:lvlJc w:val="left"/>
      <w:pPr>
        <w:ind w:left="5598" w:hanging="361"/>
      </w:pPr>
      <w:rPr>
        <w:rFonts w:hint="default"/>
        <w:lang w:val="en-US" w:eastAsia="en-US" w:bidi="ar-SA"/>
      </w:rPr>
    </w:lvl>
    <w:lvl w:ilvl="7" w:tplc="4DBCBBB2">
      <w:numFmt w:val="bullet"/>
      <w:lvlText w:val="•"/>
      <w:lvlJc w:val="left"/>
      <w:pPr>
        <w:ind w:left="6395" w:hanging="361"/>
      </w:pPr>
      <w:rPr>
        <w:rFonts w:hint="default"/>
        <w:lang w:val="en-US" w:eastAsia="en-US" w:bidi="ar-SA"/>
      </w:rPr>
    </w:lvl>
    <w:lvl w:ilvl="8" w:tplc="39922516">
      <w:numFmt w:val="bullet"/>
      <w:lvlText w:val="•"/>
      <w:lvlJc w:val="left"/>
      <w:pPr>
        <w:ind w:left="7191" w:hanging="361"/>
      </w:pPr>
      <w:rPr>
        <w:rFonts w:hint="default"/>
        <w:lang w:val="en-US" w:eastAsia="en-US" w:bidi="ar-SA"/>
      </w:rPr>
    </w:lvl>
  </w:abstractNum>
  <w:abstractNum w:abstractNumId="4" w15:restartNumberingAfterBreak="0">
    <w:nsid w:val="4B873492"/>
    <w:multiLevelType w:val="hybridMultilevel"/>
    <w:tmpl w:val="04C8DC3C"/>
    <w:lvl w:ilvl="0" w:tplc="A49C75F2">
      <w:numFmt w:val="bullet"/>
      <w:lvlText w:val="•"/>
      <w:lvlJc w:val="left"/>
      <w:pPr>
        <w:ind w:left="458" w:hanging="361"/>
      </w:pPr>
      <w:rPr>
        <w:rFonts w:ascii="Arial" w:eastAsia="Arial" w:hAnsi="Arial" w:cs="Arial" w:hint="default"/>
        <w:b w:val="0"/>
        <w:bCs w:val="0"/>
        <w:i w:val="0"/>
        <w:iCs w:val="0"/>
        <w:spacing w:val="0"/>
        <w:w w:val="131"/>
        <w:sz w:val="22"/>
        <w:szCs w:val="22"/>
        <w:lang w:val="en-US" w:eastAsia="en-US" w:bidi="ar-SA"/>
      </w:rPr>
    </w:lvl>
    <w:lvl w:ilvl="1" w:tplc="2D2EBD42">
      <w:numFmt w:val="bullet"/>
      <w:lvlText w:val="•"/>
      <w:lvlJc w:val="left"/>
      <w:pPr>
        <w:ind w:left="817" w:hanging="361"/>
      </w:pPr>
      <w:rPr>
        <w:rFonts w:ascii="Arial" w:eastAsia="Arial" w:hAnsi="Arial" w:cs="Arial" w:hint="default"/>
        <w:b w:val="0"/>
        <w:bCs w:val="0"/>
        <w:i w:val="0"/>
        <w:iCs w:val="0"/>
        <w:spacing w:val="0"/>
        <w:w w:val="131"/>
        <w:sz w:val="22"/>
        <w:szCs w:val="22"/>
        <w:lang w:val="en-US" w:eastAsia="en-US" w:bidi="ar-SA"/>
      </w:rPr>
    </w:lvl>
    <w:lvl w:ilvl="2" w:tplc="0D78194A">
      <w:numFmt w:val="bullet"/>
      <w:lvlText w:val="•"/>
      <w:lvlJc w:val="left"/>
      <w:pPr>
        <w:ind w:left="1704" w:hanging="361"/>
      </w:pPr>
      <w:rPr>
        <w:rFonts w:hint="default"/>
        <w:lang w:val="en-US" w:eastAsia="en-US" w:bidi="ar-SA"/>
      </w:rPr>
    </w:lvl>
    <w:lvl w:ilvl="3" w:tplc="AFA28552">
      <w:numFmt w:val="bullet"/>
      <w:lvlText w:val="•"/>
      <w:lvlJc w:val="left"/>
      <w:pPr>
        <w:ind w:left="2589" w:hanging="361"/>
      </w:pPr>
      <w:rPr>
        <w:rFonts w:hint="default"/>
        <w:lang w:val="en-US" w:eastAsia="en-US" w:bidi="ar-SA"/>
      </w:rPr>
    </w:lvl>
    <w:lvl w:ilvl="4" w:tplc="3E9A0AE6">
      <w:numFmt w:val="bullet"/>
      <w:lvlText w:val="•"/>
      <w:lvlJc w:val="left"/>
      <w:pPr>
        <w:ind w:left="3474" w:hanging="361"/>
      </w:pPr>
      <w:rPr>
        <w:rFonts w:hint="default"/>
        <w:lang w:val="en-US" w:eastAsia="en-US" w:bidi="ar-SA"/>
      </w:rPr>
    </w:lvl>
    <w:lvl w:ilvl="5" w:tplc="9D44B83C">
      <w:numFmt w:val="bullet"/>
      <w:lvlText w:val="•"/>
      <w:lvlJc w:val="left"/>
      <w:pPr>
        <w:ind w:left="4359" w:hanging="361"/>
      </w:pPr>
      <w:rPr>
        <w:rFonts w:hint="default"/>
        <w:lang w:val="en-US" w:eastAsia="en-US" w:bidi="ar-SA"/>
      </w:rPr>
    </w:lvl>
    <w:lvl w:ilvl="6" w:tplc="846A556C">
      <w:numFmt w:val="bullet"/>
      <w:lvlText w:val="•"/>
      <w:lvlJc w:val="left"/>
      <w:pPr>
        <w:ind w:left="5244" w:hanging="361"/>
      </w:pPr>
      <w:rPr>
        <w:rFonts w:hint="default"/>
        <w:lang w:val="en-US" w:eastAsia="en-US" w:bidi="ar-SA"/>
      </w:rPr>
    </w:lvl>
    <w:lvl w:ilvl="7" w:tplc="9E42C1F2">
      <w:numFmt w:val="bullet"/>
      <w:lvlText w:val="•"/>
      <w:lvlJc w:val="left"/>
      <w:pPr>
        <w:ind w:left="6129" w:hanging="361"/>
      </w:pPr>
      <w:rPr>
        <w:rFonts w:hint="default"/>
        <w:lang w:val="en-US" w:eastAsia="en-US" w:bidi="ar-SA"/>
      </w:rPr>
    </w:lvl>
    <w:lvl w:ilvl="8" w:tplc="DC6CBF6A">
      <w:numFmt w:val="bullet"/>
      <w:lvlText w:val="•"/>
      <w:lvlJc w:val="left"/>
      <w:pPr>
        <w:ind w:left="7014" w:hanging="361"/>
      </w:pPr>
      <w:rPr>
        <w:rFonts w:hint="default"/>
        <w:lang w:val="en-US" w:eastAsia="en-US" w:bidi="ar-SA"/>
      </w:rPr>
    </w:lvl>
  </w:abstractNum>
  <w:abstractNum w:abstractNumId="5" w15:restartNumberingAfterBreak="0">
    <w:nsid w:val="74733CC3"/>
    <w:multiLevelType w:val="hybridMultilevel"/>
    <w:tmpl w:val="706C7A7E"/>
    <w:lvl w:ilvl="0" w:tplc="CCDED5EE">
      <w:numFmt w:val="bullet"/>
      <w:lvlText w:val="•"/>
      <w:lvlJc w:val="left"/>
      <w:pPr>
        <w:ind w:left="817" w:hanging="361"/>
      </w:pPr>
      <w:rPr>
        <w:rFonts w:ascii="Arial" w:eastAsia="Arial" w:hAnsi="Arial" w:cs="Arial" w:hint="default"/>
        <w:b w:val="0"/>
        <w:bCs w:val="0"/>
        <w:i w:val="0"/>
        <w:iCs w:val="0"/>
        <w:spacing w:val="0"/>
        <w:w w:val="131"/>
        <w:sz w:val="22"/>
        <w:szCs w:val="22"/>
        <w:lang w:val="en-US" w:eastAsia="en-US" w:bidi="ar-SA"/>
      </w:rPr>
    </w:lvl>
    <w:lvl w:ilvl="1" w:tplc="83249CB2">
      <w:numFmt w:val="bullet"/>
      <w:lvlText w:val="•"/>
      <w:lvlJc w:val="left"/>
      <w:pPr>
        <w:ind w:left="1616" w:hanging="361"/>
      </w:pPr>
      <w:rPr>
        <w:rFonts w:hint="default"/>
        <w:lang w:val="en-US" w:eastAsia="en-US" w:bidi="ar-SA"/>
      </w:rPr>
    </w:lvl>
    <w:lvl w:ilvl="2" w:tplc="C568B622">
      <w:numFmt w:val="bullet"/>
      <w:lvlText w:val="•"/>
      <w:lvlJc w:val="left"/>
      <w:pPr>
        <w:ind w:left="2412" w:hanging="361"/>
      </w:pPr>
      <w:rPr>
        <w:rFonts w:hint="default"/>
        <w:lang w:val="en-US" w:eastAsia="en-US" w:bidi="ar-SA"/>
      </w:rPr>
    </w:lvl>
    <w:lvl w:ilvl="3" w:tplc="E8A24EF2">
      <w:numFmt w:val="bullet"/>
      <w:lvlText w:val="•"/>
      <w:lvlJc w:val="left"/>
      <w:pPr>
        <w:ind w:left="3209" w:hanging="361"/>
      </w:pPr>
      <w:rPr>
        <w:rFonts w:hint="default"/>
        <w:lang w:val="en-US" w:eastAsia="en-US" w:bidi="ar-SA"/>
      </w:rPr>
    </w:lvl>
    <w:lvl w:ilvl="4" w:tplc="2B281196">
      <w:numFmt w:val="bullet"/>
      <w:lvlText w:val="•"/>
      <w:lvlJc w:val="left"/>
      <w:pPr>
        <w:ind w:left="4005" w:hanging="361"/>
      </w:pPr>
      <w:rPr>
        <w:rFonts w:hint="default"/>
        <w:lang w:val="en-US" w:eastAsia="en-US" w:bidi="ar-SA"/>
      </w:rPr>
    </w:lvl>
    <w:lvl w:ilvl="5" w:tplc="17BAAD10">
      <w:numFmt w:val="bullet"/>
      <w:lvlText w:val="•"/>
      <w:lvlJc w:val="left"/>
      <w:pPr>
        <w:ind w:left="4802" w:hanging="361"/>
      </w:pPr>
      <w:rPr>
        <w:rFonts w:hint="default"/>
        <w:lang w:val="en-US" w:eastAsia="en-US" w:bidi="ar-SA"/>
      </w:rPr>
    </w:lvl>
    <w:lvl w:ilvl="6" w:tplc="B7E451DE">
      <w:numFmt w:val="bullet"/>
      <w:lvlText w:val="•"/>
      <w:lvlJc w:val="left"/>
      <w:pPr>
        <w:ind w:left="5598" w:hanging="361"/>
      </w:pPr>
      <w:rPr>
        <w:rFonts w:hint="default"/>
        <w:lang w:val="en-US" w:eastAsia="en-US" w:bidi="ar-SA"/>
      </w:rPr>
    </w:lvl>
    <w:lvl w:ilvl="7" w:tplc="0E4242F8">
      <w:numFmt w:val="bullet"/>
      <w:lvlText w:val="•"/>
      <w:lvlJc w:val="left"/>
      <w:pPr>
        <w:ind w:left="6395" w:hanging="361"/>
      </w:pPr>
      <w:rPr>
        <w:rFonts w:hint="default"/>
        <w:lang w:val="en-US" w:eastAsia="en-US" w:bidi="ar-SA"/>
      </w:rPr>
    </w:lvl>
    <w:lvl w:ilvl="8" w:tplc="A7700D06">
      <w:numFmt w:val="bullet"/>
      <w:lvlText w:val="•"/>
      <w:lvlJc w:val="left"/>
      <w:pPr>
        <w:ind w:left="7191" w:hanging="361"/>
      </w:pPr>
      <w:rPr>
        <w:rFonts w:hint="default"/>
        <w:lang w:val="en-US" w:eastAsia="en-US" w:bidi="ar-SA"/>
      </w:rPr>
    </w:lvl>
  </w:abstractNum>
  <w:abstractNum w:abstractNumId="6" w15:restartNumberingAfterBreak="0">
    <w:nsid w:val="7F037334"/>
    <w:multiLevelType w:val="hybridMultilevel"/>
    <w:tmpl w:val="24448CAE"/>
    <w:lvl w:ilvl="0" w:tplc="19B8F9D6">
      <w:start w:val="14"/>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50137197">
    <w:abstractNumId w:val="3"/>
  </w:num>
  <w:num w:numId="2" w16cid:durableId="968704150">
    <w:abstractNumId w:val="4"/>
  </w:num>
  <w:num w:numId="3" w16cid:durableId="442959242">
    <w:abstractNumId w:val="5"/>
  </w:num>
  <w:num w:numId="4" w16cid:durableId="1311716135">
    <w:abstractNumId w:val="0"/>
  </w:num>
  <w:num w:numId="5" w16cid:durableId="2144688949">
    <w:abstractNumId w:val="1"/>
  </w:num>
  <w:num w:numId="6" w16cid:durableId="2002540824">
    <w:abstractNumId w:val="2"/>
  </w:num>
  <w:num w:numId="7" w16cid:durableId="198419744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9E7D1B"/>
    <w:rsid w:val="00000458"/>
    <w:rsid w:val="000006CB"/>
    <w:rsid w:val="00002453"/>
    <w:rsid w:val="000032E4"/>
    <w:rsid w:val="000043C4"/>
    <w:rsid w:val="00005064"/>
    <w:rsid w:val="00006BEA"/>
    <w:rsid w:val="00006C55"/>
    <w:rsid w:val="00006E5A"/>
    <w:rsid w:val="00007845"/>
    <w:rsid w:val="000109F2"/>
    <w:rsid w:val="00010BE4"/>
    <w:rsid w:val="00011BA4"/>
    <w:rsid w:val="00012029"/>
    <w:rsid w:val="0001223D"/>
    <w:rsid w:val="000137F5"/>
    <w:rsid w:val="000154DC"/>
    <w:rsid w:val="0001723A"/>
    <w:rsid w:val="0002429E"/>
    <w:rsid w:val="00026667"/>
    <w:rsid w:val="00030885"/>
    <w:rsid w:val="000318D9"/>
    <w:rsid w:val="000336AD"/>
    <w:rsid w:val="000340F7"/>
    <w:rsid w:val="0003697F"/>
    <w:rsid w:val="000375F5"/>
    <w:rsid w:val="0004060C"/>
    <w:rsid w:val="0004163D"/>
    <w:rsid w:val="00041B4B"/>
    <w:rsid w:val="00041BC9"/>
    <w:rsid w:val="00043415"/>
    <w:rsid w:val="00043B52"/>
    <w:rsid w:val="00047DEC"/>
    <w:rsid w:val="00050444"/>
    <w:rsid w:val="00052A73"/>
    <w:rsid w:val="000530F4"/>
    <w:rsid w:val="00053A87"/>
    <w:rsid w:val="000541B2"/>
    <w:rsid w:val="00054CB2"/>
    <w:rsid w:val="000571D8"/>
    <w:rsid w:val="00057D2E"/>
    <w:rsid w:val="0006182D"/>
    <w:rsid w:val="0006359A"/>
    <w:rsid w:val="0006421F"/>
    <w:rsid w:val="00064365"/>
    <w:rsid w:val="000652B8"/>
    <w:rsid w:val="0006530F"/>
    <w:rsid w:val="0006553A"/>
    <w:rsid w:val="00066329"/>
    <w:rsid w:val="000663BB"/>
    <w:rsid w:val="00071AFC"/>
    <w:rsid w:val="00072F05"/>
    <w:rsid w:val="00073657"/>
    <w:rsid w:val="00073F25"/>
    <w:rsid w:val="00074456"/>
    <w:rsid w:val="00076C52"/>
    <w:rsid w:val="0008017D"/>
    <w:rsid w:val="00080314"/>
    <w:rsid w:val="00080C63"/>
    <w:rsid w:val="0008102E"/>
    <w:rsid w:val="00081493"/>
    <w:rsid w:val="0008208C"/>
    <w:rsid w:val="00082930"/>
    <w:rsid w:val="000829DB"/>
    <w:rsid w:val="00082BCB"/>
    <w:rsid w:val="0008507F"/>
    <w:rsid w:val="00087123"/>
    <w:rsid w:val="00091261"/>
    <w:rsid w:val="000913D1"/>
    <w:rsid w:val="00091FBD"/>
    <w:rsid w:val="00093509"/>
    <w:rsid w:val="00093D4F"/>
    <w:rsid w:val="000954F0"/>
    <w:rsid w:val="00096691"/>
    <w:rsid w:val="00097C92"/>
    <w:rsid w:val="00097E32"/>
    <w:rsid w:val="00097EC9"/>
    <w:rsid w:val="000A4246"/>
    <w:rsid w:val="000A5CF0"/>
    <w:rsid w:val="000A6999"/>
    <w:rsid w:val="000A77FB"/>
    <w:rsid w:val="000B16FE"/>
    <w:rsid w:val="000B185A"/>
    <w:rsid w:val="000B3518"/>
    <w:rsid w:val="000B42B3"/>
    <w:rsid w:val="000B4797"/>
    <w:rsid w:val="000B5598"/>
    <w:rsid w:val="000B5A71"/>
    <w:rsid w:val="000B6659"/>
    <w:rsid w:val="000B6B9E"/>
    <w:rsid w:val="000B7074"/>
    <w:rsid w:val="000C014D"/>
    <w:rsid w:val="000C0411"/>
    <w:rsid w:val="000C104D"/>
    <w:rsid w:val="000C3A01"/>
    <w:rsid w:val="000C4DD6"/>
    <w:rsid w:val="000C6728"/>
    <w:rsid w:val="000C7435"/>
    <w:rsid w:val="000C7728"/>
    <w:rsid w:val="000C7CC1"/>
    <w:rsid w:val="000D04BF"/>
    <w:rsid w:val="000D14EA"/>
    <w:rsid w:val="000D2080"/>
    <w:rsid w:val="000D283E"/>
    <w:rsid w:val="000D33F3"/>
    <w:rsid w:val="000D5B44"/>
    <w:rsid w:val="000D6C71"/>
    <w:rsid w:val="000E0AFA"/>
    <w:rsid w:val="000E1A61"/>
    <w:rsid w:val="000E279B"/>
    <w:rsid w:val="000E38E3"/>
    <w:rsid w:val="000E3AB5"/>
    <w:rsid w:val="000E6F7D"/>
    <w:rsid w:val="000F159E"/>
    <w:rsid w:val="000F1C46"/>
    <w:rsid w:val="000F2560"/>
    <w:rsid w:val="000F32DC"/>
    <w:rsid w:val="000F3A8E"/>
    <w:rsid w:val="000F3F6C"/>
    <w:rsid w:val="000F4091"/>
    <w:rsid w:val="000F6157"/>
    <w:rsid w:val="000F652D"/>
    <w:rsid w:val="000F7171"/>
    <w:rsid w:val="00101258"/>
    <w:rsid w:val="00102806"/>
    <w:rsid w:val="00106BB1"/>
    <w:rsid w:val="00106E24"/>
    <w:rsid w:val="0010787C"/>
    <w:rsid w:val="00107D66"/>
    <w:rsid w:val="00110128"/>
    <w:rsid w:val="00115265"/>
    <w:rsid w:val="00115CBD"/>
    <w:rsid w:val="00115DBA"/>
    <w:rsid w:val="00115F58"/>
    <w:rsid w:val="001164AB"/>
    <w:rsid w:val="00116C79"/>
    <w:rsid w:val="00117A60"/>
    <w:rsid w:val="00120E55"/>
    <w:rsid w:val="0012117E"/>
    <w:rsid w:val="001237E3"/>
    <w:rsid w:val="00123DCE"/>
    <w:rsid w:val="00124B1B"/>
    <w:rsid w:val="00124FF1"/>
    <w:rsid w:val="00125386"/>
    <w:rsid w:val="00125CCA"/>
    <w:rsid w:val="001277E5"/>
    <w:rsid w:val="001304EE"/>
    <w:rsid w:val="00131505"/>
    <w:rsid w:val="00131582"/>
    <w:rsid w:val="00131C41"/>
    <w:rsid w:val="00133BD2"/>
    <w:rsid w:val="0013418C"/>
    <w:rsid w:val="001347CE"/>
    <w:rsid w:val="001357E2"/>
    <w:rsid w:val="00136176"/>
    <w:rsid w:val="00137E59"/>
    <w:rsid w:val="00137F50"/>
    <w:rsid w:val="0014021C"/>
    <w:rsid w:val="001429E5"/>
    <w:rsid w:val="00143975"/>
    <w:rsid w:val="001440D2"/>
    <w:rsid w:val="00146B6C"/>
    <w:rsid w:val="00146F33"/>
    <w:rsid w:val="00147A27"/>
    <w:rsid w:val="00150BA7"/>
    <w:rsid w:val="00150F6C"/>
    <w:rsid w:val="0015292A"/>
    <w:rsid w:val="00154104"/>
    <w:rsid w:val="001543EE"/>
    <w:rsid w:val="001544B7"/>
    <w:rsid w:val="00155823"/>
    <w:rsid w:val="00155969"/>
    <w:rsid w:val="0015622C"/>
    <w:rsid w:val="001572D8"/>
    <w:rsid w:val="00160A13"/>
    <w:rsid w:val="001636D0"/>
    <w:rsid w:val="00163855"/>
    <w:rsid w:val="001645DA"/>
    <w:rsid w:val="00164C31"/>
    <w:rsid w:val="00165418"/>
    <w:rsid w:val="001658CF"/>
    <w:rsid w:val="00166FA8"/>
    <w:rsid w:val="00167A55"/>
    <w:rsid w:val="00170678"/>
    <w:rsid w:val="00171706"/>
    <w:rsid w:val="001731FA"/>
    <w:rsid w:val="00174F69"/>
    <w:rsid w:val="001750FE"/>
    <w:rsid w:val="001751B5"/>
    <w:rsid w:val="00175ED6"/>
    <w:rsid w:val="00182167"/>
    <w:rsid w:val="00182415"/>
    <w:rsid w:val="00182A08"/>
    <w:rsid w:val="00182C8F"/>
    <w:rsid w:val="0018330B"/>
    <w:rsid w:val="00183B64"/>
    <w:rsid w:val="001842A2"/>
    <w:rsid w:val="00184726"/>
    <w:rsid w:val="00184EB6"/>
    <w:rsid w:val="001865F9"/>
    <w:rsid w:val="001905FC"/>
    <w:rsid w:val="00190B73"/>
    <w:rsid w:val="001919B5"/>
    <w:rsid w:val="00192C4A"/>
    <w:rsid w:val="001930D7"/>
    <w:rsid w:val="00193CDD"/>
    <w:rsid w:val="00193D70"/>
    <w:rsid w:val="00197993"/>
    <w:rsid w:val="00197E9B"/>
    <w:rsid w:val="001A2362"/>
    <w:rsid w:val="001A285E"/>
    <w:rsid w:val="001A31E5"/>
    <w:rsid w:val="001A4300"/>
    <w:rsid w:val="001A4775"/>
    <w:rsid w:val="001B298A"/>
    <w:rsid w:val="001B3D70"/>
    <w:rsid w:val="001B50C9"/>
    <w:rsid w:val="001B5BE8"/>
    <w:rsid w:val="001C1245"/>
    <w:rsid w:val="001C1E77"/>
    <w:rsid w:val="001C42D5"/>
    <w:rsid w:val="001C47D0"/>
    <w:rsid w:val="001C4E92"/>
    <w:rsid w:val="001C5211"/>
    <w:rsid w:val="001C7812"/>
    <w:rsid w:val="001D0E26"/>
    <w:rsid w:val="001D274F"/>
    <w:rsid w:val="001D2B66"/>
    <w:rsid w:val="001D6826"/>
    <w:rsid w:val="001D6DB9"/>
    <w:rsid w:val="001D70BC"/>
    <w:rsid w:val="001E1760"/>
    <w:rsid w:val="001E79EB"/>
    <w:rsid w:val="001F0787"/>
    <w:rsid w:val="001F192D"/>
    <w:rsid w:val="001F3C20"/>
    <w:rsid w:val="001F3CF4"/>
    <w:rsid w:val="001F4081"/>
    <w:rsid w:val="001F4A23"/>
    <w:rsid w:val="001F784E"/>
    <w:rsid w:val="002013DA"/>
    <w:rsid w:val="00201837"/>
    <w:rsid w:val="002060AA"/>
    <w:rsid w:val="00206409"/>
    <w:rsid w:val="00207C39"/>
    <w:rsid w:val="002102EC"/>
    <w:rsid w:val="002106E1"/>
    <w:rsid w:val="0021164B"/>
    <w:rsid w:val="00211714"/>
    <w:rsid w:val="002119BF"/>
    <w:rsid w:val="002121A3"/>
    <w:rsid w:val="0021237B"/>
    <w:rsid w:val="00212DBB"/>
    <w:rsid w:val="00213AAF"/>
    <w:rsid w:val="00214107"/>
    <w:rsid w:val="002144A0"/>
    <w:rsid w:val="00214960"/>
    <w:rsid w:val="00215F41"/>
    <w:rsid w:val="00217603"/>
    <w:rsid w:val="00217D16"/>
    <w:rsid w:val="00220130"/>
    <w:rsid w:val="002203C2"/>
    <w:rsid w:val="00221D4C"/>
    <w:rsid w:val="00222624"/>
    <w:rsid w:val="00222CE6"/>
    <w:rsid w:val="00222F67"/>
    <w:rsid w:val="00222F70"/>
    <w:rsid w:val="00224EF4"/>
    <w:rsid w:val="002252FC"/>
    <w:rsid w:val="00225471"/>
    <w:rsid w:val="00225C60"/>
    <w:rsid w:val="00231D7D"/>
    <w:rsid w:val="00233520"/>
    <w:rsid w:val="00233DBD"/>
    <w:rsid w:val="00233F2D"/>
    <w:rsid w:val="002348F5"/>
    <w:rsid w:val="002359FF"/>
    <w:rsid w:val="002400F3"/>
    <w:rsid w:val="00242E36"/>
    <w:rsid w:val="00243F0C"/>
    <w:rsid w:val="0024542F"/>
    <w:rsid w:val="00246A96"/>
    <w:rsid w:val="00246D3F"/>
    <w:rsid w:val="00250298"/>
    <w:rsid w:val="00250D89"/>
    <w:rsid w:val="002515DA"/>
    <w:rsid w:val="00252790"/>
    <w:rsid w:val="002539D9"/>
    <w:rsid w:val="0025448B"/>
    <w:rsid w:val="00254B01"/>
    <w:rsid w:val="002556A2"/>
    <w:rsid w:val="0025578D"/>
    <w:rsid w:val="0026015B"/>
    <w:rsid w:val="002602C5"/>
    <w:rsid w:val="00262BB8"/>
    <w:rsid w:val="00262F7F"/>
    <w:rsid w:val="0026466C"/>
    <w:rsid w:val="002649DB"/>
    <w:rsid w:val="002671F0"/>
    <w:rsid w:val="0027082F"/>
    <w:rsid w:val="002716F6"/>
    <w:rsid w:val="002726A9"/>
    <w:rsid w:val="002741E2"/>
    <w:rsid w:val="00274D5B"/>
    <w:rsid w:val="00275EE0"/>
    <w:rsid w:val="00275F61"/>
    <w:rsid w:val="002803A8"/>
    <w:rsid w:val="00280AB9"/>
    <w:rsid w:val="00280C9D"/>
    <w:rsid w:val="00281A7A"/>
    <w:rsid w:val="00281E98"/>
    <w:rsid w:val="0028463B"/>
    <w:rsid w:val="00284793"/>
    <w:rsid w:val="00287780"/>
    <w:rsid w:val="00287AB9"/>
    <w:rsid w:val="002900D1"/>
    <w:rsid w:val="00290BE7"/>
    <w:rsid w:val="00292AC8"/>
    <w:rsid w:val="002958C0"/>
    <w:rsid w:val="00297AF8"/>
    <w:rsid w:val="002A002C"/>
    <w:rsid w:val="002A0BD0"/>
    <w:rsid w:val="002A0D8A"/>
    <w:rsid w:val="002A2015"/>
    <w:rsid w:val="002A203D"/>
    <w:rsid w:val="002A2634"/>
    <w:rsid w:val="002A5426"/>
    <w:rsid w:val="002A61AC"/>
    <w:rsid w:val="002A6C6F"/>
    <w:rsid w:val="002A71CE"/>
    <w:rsid w:val="002B1972"/>
    <w:rsid w:val="002B2713"/>
    <w:rsid w:val="002B305B"/>
    <w:rsid w:val="002B307D"/>
    <w:rsid w:val="002B3601"/>
    <w:rsid w:val="002B41C9"/>
    <w:rsid w:val="002B563D"/>
    <w:rsid w:val="002B5B48"/>
    <w:rsid w:val="002B624E"/>
    <w:rsid w:val="002B6748"/>
    <w:rsid w:val="002C056E"/>
    <w:rsid w:val="002C0936"/>
    <w:rsid w:val="002C0F92"/>
    <w:rsid w:val="002C2797"/>
    <w:rsid w:val="002C3CC9"/>
    <w:rsid w:val="002C4677"/>
    <w:rsid w:val="002C5233"/>
    <w:rsid w:val="002C7502"/>
    <w:rsid w:val="002D0530"/>
    <w:rsid w:val="002D0B63"/>
    <w:rsid w:val="002D1630"/>
    <w:rsid w:val="002D18D7"/>
    <w:rsid w:val="002D409C"/>
    <w:rsid w:val="002D4444"/>
    <w:rsid w:val="002D5C34"/>
    <w:rsid w:val="002D5ED7"/>
    <w:rsid w:val="002D5F43"/>
    <w:rsid w:val="002D62A0"/>
    <w:rsid w:val="002D6A50"/>
    <w:rsid w:val="002E0A6D"/>
    <w:rsid w:val="002E216B"/>
    <w:rsid w:val="002E23A9"/>
    <w:rsid w:val="002E394F"/>
    <w:rsid w:val="002E4B4D"/>
    <w:rsid w:val="002E4E57"/>
    <w:rsid w:val="002E6F75"/>
    <w:rsid w:val="002E719B"/>
    <w:rsid w:val="002F140F"/>
    <w:rsid w:val="002F1DAC"/>
    <w:rsid w:val="002F1E6B"/>
    <w:rsid w:val="002F33B2"/>
    <w:rsid w:val="002F4504"/>
    <w:rsid w:val="002F5EDE"/>
    <w:rsid w:val="002F6BD1"/>
    <w:rsid w:val="003002A7"/>
    <w:rsid w:val="0030170F"/>
    <w:rsid w:val="0030257F"/>
    <w:rsid w:val="00304A55"/>
    <w:rsid w:val="00304D1A"/>
    <w:rsid w:val="00306C08"/>
    <w:rsid w:val="00307349"/>
    <w:rsid w:val="0031158F"/>
    <w:rsid w:val="00311CFE"/>
    <w:rsid w:val="00311E4A"/>
    <w:rsid w:val="00315B9B"/>
    <w:rsid w:val="00317E30"/>
    <w:rsid w:val="003229CF"/>
    <w:rsid w:val="00325E1B"/>
    <w:rsid w:val="0032668F"/>
    <w:rsid w:val="00326AD4"/>
    <w:rsid w:val="00326E9B"/>
    <w:rsid w:val="00327925"/>
    <w:rsid w:val="003313CC"/>
    <w:rsid w:val="00331A20"/>
    <w:rsid w:val="00331C03"/>
    <w:rsid w:val="00331C70"/>
    <w:rsid w:val="00331E0A"/>
    <w:rsid w:val="00331E15"/>
    <w:rsid w:val="003323CF"/>
    <w:rsid w:val="00334EF5"/>
    <w:rsid w:val="003353AC"/>
    <w:rsid w:val="003355C4"/>
    <w:rsid w:val="00336B17"/>
    <w:rsid w:val="00337C9D"/>
    <w:rsid w:val="00340B62"/>
    <w:rsid w:val="003433FE"/>
    <w:rsid w:val="00343DDA"/>
    <w:rsid w:val="00344353"/>
    <w:rsid w:val="00344AE9"/>
    <w:rsid w:val="00345521"/>
    <w:rsid w:val="00346769"/>
    <w:rsid w:val="00350B26"/>
    <w:rsid w:val="0035170C"/>
    <w:rsid w:val="00352425"/>
    <w:rsid w:val="00353189"/>
    <w:rsid w:val="00356253"/>
    <w:rsid w:val="00361A67"/>
    <w:rsid w:val="0036253E"/>
    <w:rsid w:val="00362D70"/>
    <w:rsid w:val="00363786"/>
    <w:rsid w:val="00363F34"/>
    <w:rsid w:val="0037085C"/>
    <w:rsid w:val="00373A90"/>
    <w:rsid w:val="003742BF"/>
    <w:rsid w:val="00374D0E"/>
    <w:rsid w:val="00374DB7"/>
    <w:rsid w:val="003751D8"/>
    <w:rsid w:val="00375472"/>
    <w:rsid w:val="003763C9"/>
    <w:rsid w:val="00376BBF"/>
    <w:rsid w:val="0037732E"/>
    <w:rsid w:val="00377EE4"/>
    <w:rsid w:val="00381423"/>
    <w:rsid w:val="003824D7"/>
    <w:rsid w:val="0038519D"/>
    <w:rsid w:val="00385A40"/>
    <w:rsid w:val="00385CFA"/>
    <w:rsid w:val="003903CC"/>
    <w:rsid w:val="003904D9"/>
    <w:rsid w:val="0039053B"/>
    <w:rsid w:val="00391BF6"/>
    <w:rsid w:val="003936E8"/>
    <w:rsid w:val="00395A8B"/>
    <w:rsid w:val="00395DD1"/>
    <w:rsid w:val="00396977"/>
    <w:rsid w:val="0039755E"/>
    <w:rsid w:val="00397615"/>
    <w:rsid w:val="00397EFB"/>
    <w:rsid w:val="003A215A"/>
    <w:rsid w:val="003A2320"/>
    <w:rsid w:val="003A248A"/>
    <w:rsid w:val="003A4534"/>
    <w:rsid w:val="003A4567"/>
    <w:rsid w:val="003A64EA"/>
    <w:rsid w:val="003A6BF1"/>
    <w:rsid w:val="003B0B18"/>
    <w:rsid w:val="003B14B4"/>
    <w:rsid w:val="003B211D"/>
    <w:rsid w:val="003B4588"/>
    <w:rsid w:val="003B4CC6"/>
    <w:rsid w:val="003B5002"/>
    <w:rsid w:val="003B581E"/>
    <w:rsid w:val="003B6997"/>
    <w:rsid w:val="003B72DD"/>
    <w:rsid w:val="003B74C2"/>
    <w:rsid w:val="003B7DA1"/>
    <w:rsid w:val="003C0A2F"/>
    <w:rsid w:val="003C0A91"/>
    <w:rsid w:val="003C2F72"/>
    <w:rsid w:val="003C3B37"/>
    <w:rsid w:val="003C6E19"/>
    <w:rsid w:val="003C6F53"/>
    <w:rsid w:val="003C7D80"/>
    <w:rsid w:val="003D0C79"/>
    <w:rsid w:val="003D2449"/>
    <w:rsid w:val="003D4196"/>
    <w:rsid w:val="003D4341"/>
    <w:rsid w:val="003D43FC"/>
    <w:rsid w:val="003D4B2F"/>
    <w:rsid w:val="003D523F"/>
    <w:rsid w:val="003D5996"/>
    <w:rsid w:val="003D5BC1"/>
    <w:rsid w:val="003D68DC"/>
    <w:rsid w:val="003E067F"/>
    <w:rsid w:val="003E0935"/>
    <w:rsid w:val="003E3876"/>
    <w:rsid w:val="003E3FF9"/>
    <w:rsid w:val="003E55F2"/>
    <w:rsid w:val="003E6E38"/>
    <w:rsid w:val="003F0862"/>
    <w:rsid w:val="003F0BB2"/>
    <w:rsid w:val="003F2189"/>
    <w:rsid w:val="003F2D46"/>
    <w:rsid w:val="003F405C"/>
    <w:rsid w:val="003F73F6"/>
    <w:rsid w:val="003F7CB8"/>
    <w:rsid w:val="004009B8"/>
    <w:rsid w:val="004022F7"/>
    <w:rsid w:val="00402DD0"/>
    <w:rsid w:val="00403C29"/>
    <w:rsid w:val="004043CD"/>
    <w:rsid w:val="00404CD4"/>
    <w:rsid w:val="00406CEB"/>
    <w:rsid w:val="004075EA"/>
    <w:rsid w:val="00410877"/>
    <w:rsid w:val="00410E6A"/>
    <w:rsid w:val="004125B4"/>
    <w:rsid w:val="00413636"/>
    <w:rsid w:val="00414D32"/>
    <w:rsid w:val="00415446"/>
    <w:rsid w:val="004220EE"/>
    <w:rsid w:val="004227AF"/>
    <w:rsid w:val="00424BE8"/>
    <w:rsid w:val="00426932"/>
    <w:rsid w:val="00426971"/>
    <w:rsid w:val="00430F5B"/>
    <w:rsid w:val="00431922"/>
    <w:rsid w:val="00432998"/>
    <w:rsid w:val="00436FEA"/>
    <w:rsid w:val="00437DBF"/>
    <w:rsid w:val="004401CC"/>
    <w:rsid w:val="004410FD"/>
    <w:rsid w:val="0044276B"/>
    <w:rsid w:val="00442F9D"/>
    <w:rsid w:val="004438DB"/>
    <w:rsid w:val="004441DD"/>
    <w:rsid w:val="00444A4C"/>
    <w:rsid w:val="00444C17"/>
    <w:rsid w:val="00446971"/>
    <w:rsid w:val="00446F53"/>
    <w:rsid w:val="00446F67"/>
    <w:rsid w:val="00447108"/>
    <w:rsid w:val="004504DB"/>
    <w:rsid w:val="00451B5B"/>
    <w:rsid w:val="00452953"/>
    <w:rsid w:val="0045330A"/>
    <w:rsid w:val="004551FA"/>
    <w:rsid w:val="00457E92"/>
    <w:rsid w:val="00457FB5"/>
    <w:rsid w:val="00460929"/>
    <w:rsid w:val="004619DC"/>
    <w:rsid w:val="00463529"/>
    <w:rsid w:val="004643B7"/>
    <w:rsid w:val="00466D5E"/>
    <w:rsid w:val="0046765C"/>
    <w:rsid w:val="0047084F"/>
    <w:rsid w:val="00471229"/>
    <w:rsid w:val="004723BC"/>
    <w:rsid w:val="00473EDA"/>
    <w:rsid w:val="00474055"/>
    <w:rsid w:val="00474902"/>
    <w:rsid w:val="00474E32"/>
    <w:rsid w:val="00475C05"/>
    <w:rsid w:val="00475EB9"/>
    <w:rsid w:val="00476BDF"/>
    <w:rsid w:val="004805AD"/>
    <w:rsid w:val="0048224E"/>
    <w:rsid w:val="00482755"/>
    <w:rsid w:val="00483419"/>
    <w:rsid w:val="00483B97"/>
    <w:rsid w:val="00483F4B"/>
    <w:rsid w:val="004850C6"/>
    <w:rsid w:val="00485306"/>
    <w:rsid w:val="004855A2"/>
    <w:rsid w:val="00487EF6"/>
    <w:rsid w:val="00491123"/>
    <w:rsid w:val="0049120B"/>
    <w:rsid w:val="0049209B"/>
    <w:rsid w:val="0049261B"/>
    <w:rsid w:val="004926FF"/>
    <w:rsid w:val="00492D25"/>
    <w:rsid w:val="0049334A"/>
    <w:rsid w:val="00493448"/>
    <w:rsid w:val="00495269"/>
    <w:rsid w:val="00496BE0"/>
    <w:rsid w:val="004971AB"/>
    <w:rsid w:val="004A1F57"/>
    <w:rsid w:val="004B005E"/>
    <w:rsid w:val="004B0225"/>
    <w:rsid w:val="004B1ADA"/>
    <w:rsid w:val="004B2833"/>
    <w:rsid w:val="004B6311"/>
    <w:rsid w:val="004B7352"/>
    <w:rsid w:val="004B7645"/>
    <w:rsid w:val="004C0C3B"/>
    <w:rsid w:val="004C14D1"/>
    <w:rsid w:val="004C17C5"/>
    <w:rsid w:val="004C4E9E"/>
    <w:rsid w:val="004C60C9"/>
    <w:rsid w:val="004C67FF"/>
    <w:rsid w:val="004C7420"/>
    <w:rsid w:val="004D023E"/>
    <w:rsid w:val="004D2CF4"/>
    <w:rsid w:val="004D5240"/>
    <w:rsid w:val="004D7142"/>
    <w:rsid w:val="004E0675"/>
    <w:rsid w:val="004E0DA4"/>
    <w:rsid w:val="004E1459"/>
    <w:rsid w:val="004E163D"/>
    <w:rsid w:val="004E3CA7"/>
    <w:rsid w:val="004E4E08"/>
    <w:rsid w:val="004F12EE"/>
    <w:rsid w:val="004F3A10"/>
    <w:rsid w:val="004F3A1F"/>
    <w:rsid w:val="004F3B57"/>
    <w:rsid w:val="004F3C67"/>
    <w:rsid w:val="004F3CAC"/>
    <w:rsid w:val="004F45D7"/>
    <w:rsid w:val="004F51E9"/>
    <w:rsid w:val="004F7094"/>
    <w:rsid w:val="004F7382"/>
    <w:rsid w:val="005010B8"/>
    <w:rsid w:val="00503ACB"/>
    <w:rsid w:val="0050641D"/>
    <w:rsid w:val="00507683"/>
    <w:rsid w:val="0050769A"/>
    <w:rsid w:val="005103EA"/>
    <w:rsid w:val="00510696"/>
    <w:rsid w:val="0051256A"/>
    <w:rsid w:val="00517148"/>
    <w:rsid w:val="0051727F"/>
    <w:rsid w:val="005225C6"/>
    <w:rsid w:val="005252D4"/>
    <w:rsid w:val="0052630C"/>
    <w:rsid w:val="0052691D"/>
    <w:rsid w:val="005279DB"/>
    <w:rsid w:val="00527ABB"/>
    <w:rsid w:val="00534087"/>
    <w:rsid w:val="00536819"/>
    <w:rsid w:val="005375BD"/>
    <w:rsid w:val="005411D0"/>
    <w:rsid w:val="005437B9"/>
    <w:rsid w:val="00543C10"/>
    <w:rsid w:val="00543CD6"/>
    <w:rsid w:val="00544038"/>
    <w:rsid w:val="005445A7"/>
    <w:rsid w:val="005460D4"/>
    <w:rsid w:val="00547D52"/>
    <w:rsid w:val="005512BF"/>
    <w:rsid w:val="00552D5B"/>
    <w:rsid w:val="00555E8A"/>
    <w:rsid w:val="00557785"/>
    <w:rsid w:val="00561D6C"/>
    <w:rsid w:val="005629CC"/>
    <w:rsid w:val="00562ED9"/>
    <w:rsid w:val="00562FCD"/>
    <w:rsid w:val="005632CF"/>
    <w:rsid w:val="00563D8C"/>
    <w:rsid w:val="005670B4"/>
    <w:rsid w:val="005673AF"/>
    <w:rsid w:val="00570345"/>
    <w:rsid w:val="00571F19"/>
    <w:rsid w:val="00573876"/>
    <w:rsid w:val="005738DC"/>
    <w:rsid w:val="00573A69"/>
    <w:rsid w:val="005744A1"/>
    <w:rsid w:val="00574AA4"/>
    <w:rsid w:val="00574D33"/>
    <w:rsid w:val="0057525A"/>
    <w:rsid w:val="0057546F"/>
    <w:rsid w:val="005756C8"/>
    <w:rsid w:val="005758F7"/>
    <w:rsid w:val="00577B22"/>
    <w:rsid w:val="005826CD"/>
    <w:rsid w:val="00583D37"/>
    <w:rsid w:val="005847C8"/>
    <w:rsid w:val="005867E3"/>
    <w:rsid w:val="00590A9A"/>
    <w:rsid w:val="00590EE7"/>
    <w:rsid w:val="00591727"/>
    <w:rsid w:val="00594735"/>
    <w:rsid w:val="00594A5A"/>
    <w:rsid w:val="00595E66"/>
    <w:rsid w:val="00596E99"/>
    <w:rsid w:val="0059761C"/>
    <w:rsid w:val="00597C80"/>
    <w:rsid w:val="005A1006"/>
    <w:rsid w:val="005A491F"/>
    <w:rsid w:val="005A50C4"/>
    <w:rsid w:val="005A56E6"/>
    <w:rsid w:val="005A66B9"/>
    <w:rsid w:val="005B0401"/>
    <w:rsid w:val="005B1481"/>
    <w:rsid w:val="005B4667"/>
    <w:rsid w:val="005B525B"/>
    <w:rsid w:val="005B57C4"/>
    <w:rsid w:val="005B6A2E"/>
    <w:rsid w:val="005B6EEC"/>
    <w:rsid w:val="005B76F3"/>
    <w:rsid w:val="005C0784"/>
    <w:rsid w:val="005C0EB6"/>
    <w:rsid w:val="005C1C6F"/>
    <w:rsid w:val="005C218F"/>
    <w:rsid w:val="005C243A"/>
    <w:rsid w:val="005C3C70"/>
    <w:rsid w:val="005C4D8B"/>
    <w:rsid w:val="005C5AB6"/>
    <w:rsid w:val="005C7AA6"/>
    <w:rsid w:val="005D0A71"/>
    <w:rsid w:val="005D1071"/>
    <w:rsid w:val="005D1CF4"/>
    <w:rsid w:val="005D1DAB"/>
    <w:rsid w:val="005D4396"/>
    <w:rsid w:val="005D5A82"/>
    <w:rsid w:val="005E012A"/>
    <w:rsid w:val="005E02DF"/>
    <w:rsid w:val="005E0FDA"/>
    <w:rsid w:val="005E1439"/>
    <w:rsid w:val="005E6098"/>
    <w:rsid w:val="005E6743"/>
    <w:rsid w:val="005E76ED"/>
    <w:rsid w:val="005E7E67"/>
    <w:rsid w:val="005F23AE"/>
    <w:rsid w:val="005F25F2"/>
    <w:rsid w:val="005F32DB"/>
    <w:rsid w:val="005F4736"/>
    <w:rsid w:val="005F558E"/>
    <w:rsid w:val="005F5B3E"/>
    <w:rsid w:val="005F6A59"/>
    <w:rsid w:val="005F7BDC"/>
    <w:rsid w:val="00600895"/>
    <w:rsid w:val="00601ADE"/>
    <w:rsid w:val="00601AF9"/>
    <w:rsid w:val="00601D51"/>
    <w:rsid w:val="00605FE8"/>
    <w:rsid w:val="006061B6"/>
    <w:rsid w:val="00606485"/>
    <w:rsid w:val="006069AD"/>
    <w:rsid w:val="00610383"/>
    <w:rsid w:val="0061297A"/>
    <w:rsid w:val="00613F39"/>
    <w:rsid w:val="006145A8"/>
    <w:rsid w:val="00617211"/>
    <w:rsid w:val="00617D72"/>
    <w:rsid w:val="00617DCB"/>
    <w:rsid w:val="006201F4"/>
    <w:rsid w:val="00620D94"/>
    <w:rsid w:val="00621AC0"/>
    <w:rsid w:val="00622315"/>
    <w:rsid w:val="00622A81"/>
    <w:rsid w:val="0062548A"/>
    <w:rsid w:val="006255D4"/>
    <w:rsid w:val="006275B7"/>
    <w:rsid w:val="00630B00"/>
    <w:rsid w:val="00631582"/>
    <w:rsid w:val="00631D98"/>
    <w:rsid w:val="0063210E"/>
    <w:rsid w:val="00632262"/>
    <w:rsid w:val="00633395"/>
    <w:rsid w:val="006333F9"/>
    <w:rsid w:val="0063437E"/>
    <w:rsid w:val="0063579F"/>
    <w:rsid w:val="00637C74"/>
    <w:rsid w:val="00641AA4"/>
    <w:rsid w:val="006429F2"/>
    <w:rsid w:val="00642C2A"/>
    <w:rsid w:val="0064307A"/>
    <w:rsid w:val="0064428E"/>
    <w:rsid w:val="00645859"/>
    <w:rsid w:val="00646FC4"/>
    <w:rsid w:val="006470A2"/>
    <w:rsid w:val="00647C73"/>
    <w:rsid w:val="00647D4C"/>
    <w:rsid w:val="006506A2"/>
    <w:rsid w:val="006506E8"/>
    <w:rsid w:val="00650E3D"/>
    <w:rsid w:val="006512ED"/>
    <w:rsid w:val="00651D8F"/>
    <w:rsid w:val="00655241"/>
    <w:rsid w:val="006562E3"/>
    <w:rsid w:val="00656BB7"/>
    <w:rsid w:val="006603D6"/>
    <w:rsid w:val="00661124"/>
    <w:rsid w:val="00664789"/>
    <w:rsid w:val="00664DD4"/>
    <w:rsid w:val="00664E3D"/>
    <w:rsid w:val="0066762A"/>
    <w:rsid w:val="00671F19"/>
    <w:rsid w:val="00674081"/>
    <w:rsid w:val="0067583A"/>
    <w:rsid w:val="006760C4"/>
    <w:rsid w:val="00676187"/>
    <w:rsid w:val="00677D98"/>
    <w:rsid w:val="006800E1"/>
    <w:rsid w:val="00681F56"/>
    <w:rsid w:val="00683257"/>
    <w:rsid w:val="00683D5D"/>
    <w:rsid w:val="00685381"/>
    <w:rsid w:val="00685593"/>
    <w:rsid w:val="0068664B"/>
    <w:rsid w:val="00687386"/>
    <w:rsid w:val="00687FE8"/>
    <w:rsid w:val="006906D5"/>
    <w:rsid w:val="00692D15"/>
    <w:rsid w:val="00694535"/>
    <w:rsid w:val="00694C1F"/>
    <w:rsid w:val="00695730"/>
    <w:rsid w:val="00695A36"/>
    <w:rsid w:val="0069704F"/>
    <w:rsid w:val="006975BE"/>
    <w:rsid w:val="00697D0D"/>
    <w:rsid w:val="006A4070"/>
    <w:rsid w:val="006A4BFF"/>
    <w:rsid w:val="006A5283"/>
    <w:rsid w:val="006A52E1"/>
    <w:rsid w:val="006A7E83"/>
    <w:rsid w:val="006B1582"/>
    <w:rsid w:val="006B44B6"/>
    <w:rsid w:val="006B47D7"/>
    <w:rsid w:val="006B60ED"/>
    <w:rsid w:val="006C061C"/>
    <w:rsid w:val="006C0BA6"/>
    <w:rsid w:val="006C30E6"/>
    <w:rsid w:val="006C3192"/>
    <w:rsid w:val="006C3E16"/>
    <w:rsid w:val="006C3EB5"/>
    <w:rsid w:val="006C3FEE"/>
    <w:rsid w:val="006C5C81"/>
    <w:rsid w:val="006C6B7A"/>
    <w:rsid w:val="006D1E2D"/>
    <w:rsid w:val="006D2433"/>
    <w:rsid w:val="006D4A85"/>
    <w:rsid w:val="006D5D58"/>
    <w:rsid w:val="006D6CAF"/>
    <w:rsid w:val="006E09B0"/>
    <w:rsid w:val="006E1F2A"/>
    <w:rsid w:val="006E5B72"/>
    <w:rsid w:val="006E71A6"/>
    <w:rsid w:val="006E7521"/>
    <w:rsid w:val="006F03F5"/>
    <w:rsid w:val="006F17DB"/>
    <w:rsid w:val="006F1BDC"/>
    <w:rsid w:val="006F4253"/>
    <w:rsid w:val="006F428B"/>
    <w:rsid w:val="006F68B8"/>
    <w:rsid w:val="007002BA"/>
    <w:rsid w:val="00700C16"/>
    <w:rsid w:val="007013BA"/>
    <w:rsid w:val="00701D7D"/>
    <w:rsid w:val="00702CC0"/>
    <w:rsid w:val="00703D9F"/>
    <w:rsid w:val="0070411E"/>
    <w:rsid w:val="00707797"/>
    <w:rsid w:val="00707A87"/>
    <w:rsid w:val="00710B3A"/>
    <w:rsid w:val="00712D99"/>
    <w:rsid w:val="00712F0C"/>
    <w:rsid w:val="007137D2"/>
    <w:rsid w:val="00713B6C"/>
    <w:rsid w:val="007158ED"/>
    <w:rsid w:val="00715EC2"/>
    <w:rsid w:val="007165AE"/>
    <w:rsid w:val="007168E7"/>
    <w:rsid w:val="007169F2"/>
    <w:rsid w:val="00717EAF"/>
    <w:rsid w:val="00720E36"/>
    <w:rsid w:val="0072281D"/>
    <w:rsid w:val="00722BC3"/>
    <w:rsid w:val="00723949"/>
    <w:rsid w:val="00723EFA"/>
    <w:rsid w:val="00723F91"/>
    <w:rsid w:val="00725A77"/>
    <w:rsid w:val="00725C16"/>
    <w:rsid w:val="00726572"/>
    <w:rsid w:val="00726B11"/>
    <w:rsid w:val="00726CDA"/>
    <w:rsid w:val="007301D8"/>
    <w:rsid w:val="00730B2D"/>
    <w:rsid w:val="007316CE"/>
    <w:rsid w:val="007356B3"/>
    <w:rsid w:val="00735724"/>
    <w:rsid w:val="00735769"/>
    <w:rsid w:val="0074056D"/>
    <w:rsid w:val="00740D98"/>
    <w:rsid w:val="00740EF8"/>
    <w:rsid w:val="00741470"/>
    <w:rsid w:val="00744B41"/>
    <w:rsid w:val="007468A8"/>
    <w:rsid w:val="00753063"/>
    <w:rsid w:val="0075345A"/>
    <w:rsid w:val="0075397C"/>
    <w:rsid w:val="00755E59"/>
    <w:rsid w:val="00760ED1"/>
    <w:rsid w:val="00761033"/>
    <w:rsid w:val="007632D6"/>
    <w:rsid w:val="00763B39"/>
    <w:rsid w:val="00763C01"/>
    <w:rsid w:val="0076409C"/>
    <w:rsid w:val="0076481F"/>
    <w:rsid w:val="00765CE7"/>
    <w:rsid w:val="00765CEA"/>
    <w:rsid w:val="00766CDB"/>
    <w:rsid w:val="00767227"/>
    <w:rsid w:val="00767C1B"/>
    <w:rsid w:val="00770D15"/>
    <w:rsid w:val="0077311A"/>
    <w:rsid w:val="007742C8"/>
    <w:rsid w:val="0077495D"/>
    <w:rsid w:val="00775440"/>
    <w:rsid w:val="00775C34"/>
    <w:rsid w:val="007761A8"/>
    <w:rsid w:val="00776703"/>
    <w:rsid w:val="00777C05"/>
    <w:rsid w:val="00780C90"/>
    <w:rsid w:val="00780E51"/>
    <w:rsid w:val="00781761"/>
    <w:rsid w:val="00781FF4"/>
    <w:rsid w:val="007832F0"/>
    <w:rsid w:val="00783629"/>
    <w:rsid w:val="00784CF8"/>
    <w:rsid w:val="00784E5E"/>
    <w:rsid w:val="007854E4"/>
    <w:rsid w:val="0078563F"/>
    <w:rsid w:val="00785FD9"/>
    <w:rsid w:val="00787F78"/>
    <w:rsid w:val="007911F2"/>
    <w:rsid w:val="00791477"/>
    <w:rsid w:val="00791CA7"/>
    <w:rsid w:val="007930C2"/>
    <w:rsid w:val="007951F1"/>
    <w:rsid w:val="0079697F"/>
    <w:rsid w:val="00797D37"/>
    <w:rsid w:val="007A2224"/>
    <w:rsid w:val="007A3C39"/>
    <w:rsid w:val="007A407E"/>
    <w:rsid w:val="007A4232"/>
    <w:rsid w:val="007A4FBF"/>
    <w:rsid w:val="007A5934"/>
    <w:rsid w:val="007A66AC"/>
    <w:rsid w:val="007A7391"/>
    <w:rsid w:val="007A7C4B"/>
    <w:rsid w:val="007A7F42"/>
    <w:rsid w:val="007A7F45"/>
    <w:rsid w:val="007B058C"/>
    <w:rsid w:val="007B1D09"/>
    <w:rsid w:val="007B1E04"/>
    <w:rsid w:val="007B200C"/>
    <w:rsid w:val="007B200D"/>
    <w:rsid w:val="007B2A8D"/>
    <w:rsid w:val="007B412E"/>
    <w:rsid w:val="007C0AE1"/>
    <w:rsid w:val="007C116B"/>
    <w:rsid w:val="007C2E63"/>
    <w:rsid w:val="007C305E"/>
    <w:rsid w:val="007C3387"/>
    <w:rsid w:val="007C64CA"/>
    <w:rsid w:val="007D4190"/>
    <w:rsid w:val="007D439D"/>
    <w:rsid w:val="007D4F07"/>
    <w:rsid w:val="007E04CD"/>
    <w:rsid w:val="007E1585"/>
    <w:rsid w:val="007E24BC"/>
    <w:rsid w:val="007E506F"/>
    <w:rsid w:val="007E59F7"/>
    <w:rsid w:val="007F05A6"/>
    <w:rsid w:val="007F09BC"/>
    <w:rsid w:val="007F0EF9"/>
    <w:rsid w:val="007F2FF3"/>
    <w:rsid w:val="007F3A51"/>
    <w:rsid w:val="007F3D7E"/>
    <w:rsid w:val="007F411B"/>
    <w:rsid w:val="007F554A"/>
    <w:rsid w:val="007F56CE"/>
    <w:rsid w:val="007F59C7"/>
    <w:rsid w:val="007F67EF"/>
    <w:rsid w:val="007F6C6D"/>
    <w:rsid w:val="007F7E8E"/>
    <w:rsid w:val="007F7EBF"/>
    <w:rsid w:val="00802AF7"/>
    <w:rsid w:val="00803593"/>
    <w:rsid w:val="00804615"/>
    <w:rsid w:val="00805203"/>
    <w:rsid w:val="00805AAF"/>
    <w:rsid w:val="00805E57"/>
    <w:rsid w:val="008131B8"/>
    <w:rsid w:val="008138D9"/>
    <w:rsid w:val="0081763D"/>
    <w:rsid w:val="00817790"/>
    <w:rsid w:val="0082184F"/>
    <w:rsid w:val="00821919"/>
    <w:rsid w:val="00822092"/>
    <w:rsid w:val="008249BF"/>
    <w:rsid w:val="00826FD6"/>
    <w:rsid w:val="00830AA3"/>
    <w:rsid w:val="00833949"/>
    <w:rsid w:val="00834F32"/>
    <w:rsid w:val="008359DF"/>
    <w:rsid w:val="00836E32"/>
    <w:rsid w:val="00840625"/>
    <w:rsid w:val="00842652"/>
    <w:rsid w:val="00843733"/>
    <w:rsid w:val="00845416"/>
    <w:rsid w:val="008457D4"/>
    <w:rsid w:val="00846242"/>
    <w:rsid w:val="008466E3"/>
    <w:rsid w:val="00847746"/>
    <w:rsid w:val="00850672"/>
    <w:rsid w:val="00851F50"/>
    <w:rsid w:val="00852DF8"/>
    <w:rsid w:val="00854430"/>
    <w:rsid w:val="0085512C"/>
    <w:rsid w:val="00855EDD"/>
    <w:rsid w:val="00856608"/>
    <w:rsid w:val="00856F9F"/>
    <w:rsid w:val="008611FC"/>
    <w:rsid w:val="008613D4"/>
    <w:rsid w:val="00861CB5"/>
    <w:rsid w:val="008622F0"/>
    <w:rsid w:val="00862B2B"/>
    <w:rsid w:val="00862E4F"/>
    <w:rsid w:val="00864412"/>
    <w:rsid w:val="008647CC"/>
    <w:rsid w:val="0086614F"/>
    <w:rsid w:val="008662E0"/>
    <w:rsid w:val="008666A5"/>
    <w:rsid w:val="008678AC"/>
    <w:rsid w:val="00867AD6"/>
    <w:rsid w:val="008700EC"/>
    <w:rsid w:val="008712E0"/>
    <w:rsid w:val="0087314F"/>
    <w:rsid w:val="00877EDA"/>
    <w:rsid w:val="0088026D"/>
    <w:rsid w:val="008804E4"/>
    <w:rsid w:val="00881113"/>
    <w:rsid w:val="00884455"/>
    <w:rsid w:val="0088593F"/>
    <w:rsid w:val="00886BEF"/>
    <w:rsid w:val="00886CF9"/>
    <w:rsid w:val="00891B21"/>
    <w:rsid w:val="008920FC"/>
    <w:rsid w:val="008940CE"/>
    <w:rsid w:val="00897880"/>
    <w:rsid w:val="008978C3"/>
    <w:rsid w:val="008A0003"/>
    <w:rsid w:val="008A008D"/>
    <w:rsid w:val="008A0FBB"/>
    <w:rsid w:val="008A1DC0"/>
    <w:rsid w:val="008A2C54"/>
    <w:rsid w:val="008A37F7"/>
    <w:rsid w:val="008A4DB8"/>
    <w:rsid w:val="008A7058"/>
    <w:rsid w:val="008A752E"/>
    <w:rsid w:val="008B100D"/>
    <w:rsid w:val="008B109F"/>
    <w:rsid w:val="008B1365"/>
    <w:rsid w:val="008B165D"/>
    <w:rsid w:val="008B23C3"/>
    <w:rsid w:val="008B337A"/>
    <w:rsid w:val="008B54DE"/>
    <w:rsid w:val="008B6647"/>
    <w:rsid w:val="008C0967"/>
    <w:rsid w:val="008C1ED5"/>
    <w:rsid w:val="008C1F91"/>
    <w:rsid w:val="008C2A31"/>
    <w:rsid w:val="008C57E3"/>
    <w:rsid w:val="008C625F"/>
    <w:rsid w:val="008C7861"/>
    <w:rsid w:val="008D04C2"/>
    <w:rsid w:val="008D1537"/>
    <w:rsid w:val="008D21E3"/>
    <w:rsid w:val="008D3821"/>
    <w:rsid w:val="008D4887"/>
    <w:rsid w:val="008D61C7"/>
    <w:rsid w:val="008E0B9D"/>
    <w:rsid w:val="008E1334"/>
    <w:rsid w:val="008E52C8"/>
    <w:rsid w:val="008E637E"/>
    <w:rsid w:val="008F0D3E"/>
    <w:rsid w:val="008F33A3"/>
    <w:rsid w:val="008F494D"/>
    <w:rsid w:val="008F59D7"/>
    <w:rsid w:val="008F612B"/>
    <w:rsid w:val="008F62A4"/>
    <w:rsid w:val="0090187F"/>
    <w:rsid w:val="00901BFF"/>
    <w:rsid w:val="009025A1"/>
    <w:rsid w:val="00902E4E"/>
    <w:rsid w:val="00903C8B"/>
    <w:rsid w:val="00903FB7"/>
    <w:rsid w:val="0090729D"/>
    <w:rsid w:val="00910D7B"/>
    <w:rsid w:val="00911EF9"/>
    <w:rsid w:val="0091244E"/>
    <w:rsid w:val="00914721"/>
    <w:rsid w:val="0091563F"/>
    <w:rsid w:val="0091690F"/>
    <w:rsid w:val="0091765E"/>
    <w:rsid w:val="009200B8"/>
    <w:rsid w:val="009209A1"/>
    <w:rsid w:val="00920EDD"/>
    <w:rsid w:val="00922343"/>
    <w:rsid w:val="00923489"/>
    <w:rsid w:val="00925783"/>
    <w:rsid w:val="0092580A"/>
    <w:rsid w:val="00925FDB"/>
    <w:rsid w:val="0093097E"/>
    <w:rsid w:val="0093642C"/>
    <w:rsid w:val="00940AEE"/>
    <w:rsid w:val="00941156"/>
    <w:rsid w:val="0094201C"/>
    <w:rsid w:val="00942304"/>
    <w:rsid w:val="00942998"/>
    <w:rsid w:val="00942ECD"/>
    <w:rsid w:val="0094351D"/>
    <w:rsid w:val="00944ADD"/>
    <w:rsid w:val="00945AEA"/>
    <w:rsid w:val="00950785"/>
    <w:rsid w:val="009509E3"/>
    <w:rsid w:val="009513AA"/>
    <w:rsid w:val="0095149C"/>
    <w:rsid w:val="009519B4"/>
    <w:rsid w:val="00951A2C"/>
    <w:rsid w:val="00951C68"/>
    <w:rsid w:val="00951E16"/>
    <w:rsid w:val="00954C0F"/>
    <w:rsid w:val="0095781C"/>
    <w:rsid w:val="009602FB"/>
    <w:rsid w:val="0096136E"/>
    <w:rsid w:val="0096412E"/>
    <w:rsid w:val="009648ED"/>
    <w:rsid w:val="009658B7"/>
    <w:rsid w:val="00967D67"/>
    <w:rsid w:val="0096874E"/>
    <w:rsid w:val="00972689"/>
    <w:rsid w:val="009742CB"/>
    <w:rsid w:val="00975CB6"/>
    <w:rsid w:val="00976402"/>
    <w:rsid w:val="00980020"/>
    <w:rsid w:val="009807B8"/>
    <w:rsid w:val="00980F66"/>
    <w:rsid w:val="009817D0"/>
    <w:rsid w:val="00982CE0"/>
    <w:rsid w:val="0098329B"/>
    <w:rsid w:val="009860AD"/>
    <w:rsid w:val="009869A8"/>
    <w:rsid w:val="009908D5"/>
    <w:rsid w:val="00991D1D"/>
    <w:rsid w:val="00991D56"/>
    <w:rsid w:val="00992372"/>
    <w:rsid w:val="0099277B"/>
    <w:rsid w:val="00992EE9"/>
    <w:rsid w:val="009930D1"/>
    <w:rsid w:val="00994DF0"/>
    <w:rsid w:val="0099516C"/>
    <w:rsid w:val="0099686C"/>
    <w:rsid w:val="009A0491"/>
    <w:rsid w:val="009A1022"/>
    <w:rsid w:val="009A123D"/>
    <w:rsid w:val="009A1B9C"/>
    <w:rsid w:val="009A2608"/>
    <w:rsid w:val="009A2B77"/>
    <w:rsid w:val="009A35A0"/>
    <w:rsid w:val="009A3A2F"/>
    <w:rsid w:val="009A3B05"/>
    <w:rsid w:val="009A49C9"/>
    <w:rsid w:val="009A5F12"/>
    <w:rsid w:val="009A6D57"/>
    <w:rsid w:val="009B0121"/>
    <w:rsid w:val="009B6110"/>
    <w:rsid w:val="009B7017"/>
    <w:rsid w:val="009C0BBC"/>
    <w:rsid w:val="009C1930"/>
    <w:rsid w:val="009C1DD2"/>
    <w:rsid w:val="009C2A37"/>
    <w:rsid w:val="009C47D6"/>
    <w:rsid w:val="009C683E"/>
    <w:rsid w:val="009D01B0"/>
    <w:rsid w:val="009D5ADD"/>
    <w:rsid w:val="009D6CAC"/>
    <w:rsid w:val="009D7357"/>
    <w:rsid w:val="009D77E0"/>
    <w:rsid w:val="009E0E68"/>
    <w:rsid w:val="009E35B3"/>
    <w:rsid w:val="009E37CE"/>
    <w:rsid w:val="009E4E23"/>
    <w:rsid w:val="009E7D1B"/>
    <w:rsid w:val="009F28AC"/>
    <w:rsid w:val="009F387D"/>
    <w:rsid w:val="009F6827"/>
    <w:rsid w:val="009F6E7F"/>
    <w:rsid w:val="009F74CC"/>
    <w:rsid w:val="009F7A9B"/>
    <w:rsid w:val="009F7B7D"/>
    <w:rsid w:val="00A003AC"/>
    <w:rsid w:val="00A00E8E"/>
    <w:rsid w:val="00A0339A"/>
    <w:rsid w:val="00A03595"/>
    <w:rsid w:val="00A03A85"/>
    <w:rsid w:val="00A040AB"/>
    <w:rsid w:val="00A04C2B"/>
    <w:rsid w:val="00A052A5"/>
    <w:rsid w:val="00A12C00"/>
    <w:rsid w:val="00A14455"/>
    <w:rsid w:val="00A15673"/>
    <w:rsid w:val="00A164FA"/>
    <w:rsid w:val="00A167CB"/>
    <w:rsid w:val="00A20243"/>
    <w:rsid w:val="00A2035A"/>
    <w:rsid w:val="00A217ED"/>
    <w:rsid w:val="00A22254"/>
    <w:rsid w:val="00A222E1"/>
    <w:rsid w:val="00A2292F"/>
    <w:rsid w:val="00A303CE"/>
    <w:rsid w:val="00A30B62"/>
    <w:rsid w:val="00A31E73"/>
    <w:rsid w:val="00A340B6"/>
    <w:rsid w:val="00A35DAE"/>
    <w:rsid w:val="00A36188"/>
    <w:rsid w:val="00A3664B"/>
    <w:rsid w:val="00A3713A"/>
    <w:rsid w:val="00A43589"/>
    <w:rsid w:val="00A43AA3"/>
    <w:rsid w:val="00A43AFE"/>
    <w:rsid w:val="00A47E1D"/>
    <w:rsid w:val="00A47E95"/>
    <w:rsid w:val="00A510E0"/>
    <w:rsid w:val="00A534FD"/>
    <w:rsid w:val="00A54119"/>
    <w:rsid w:val="00A54745"/>
    <w:rsid w:val="00A61C35"/>
    <w:rsid w:val="00A62A3D"/>
    <w:rsid w:val="00A633FA"/>
    <w:rsid w:val="00A636F9"/>
    <w:rsid w:val="00A647DE"/>
    <w:rsid w:val="00A6565F"/>
    <w:rsid w:val="00A66C12"/>
    <w:rsid w:val="00A67766"/>
    <w:rsid w:val="00A703A0"/>
    <w:rsid w:val="00A719B5"/>
    <w:rsid w:val="00A739F2"/>
    <w:rsid w:val="00A73B43"/>
    <w:rsid w:val="00A74F2A"/>
    <w:rsid w:val="00A76D93"/>
    <w:rsid w:val="00A77A89"/>
    <w:rsid w:val="00A800D2"/>
    <w:rsid w:val="00A801F3"/>
    <w:rsid w:val="00A80B5E"/>
    <w:rsid w:val="00A825C3"/>
    <w:rsid w:val="00A84D4D"/>
    <w:rsid w:val="00A862B7"/>
    <w:rsid w:val="00A86AD7"/>
    <w:rsid w:val="00A87BC3"/>
    <w:rsid w:val="00A87D78"/>
    <w:rsid w:val="00A89DD4"/>
    <w:rsid w:val="00A9348F"/>
    <w:rsid w:val="00A94824"/>
    <w:rsid w:val="00A9638B"/>
    <w:rsid w:val="00A964B9"/>
    <w:rsid w:val="00A977FB"/>
    <w:rsid w:val="00A97B52"/>
    <w:rsid w:val="00A97C02"/>
    <w:rsid w:val="00AA1F56"/>
    <w:rsid w:val="00AA24A8"/>
    <w:rsid w:val="00AA365A"/>
    <w:rsid w:val="00AA3930"/>
    <w:rsid w:val="00AA451E"/>
    <w:rsid w:val="00AA682D"/>
    <w:rsid w:val="00AA6C13"/>
    <w:rsid w:val="00AB070D"/>
    <w:rsid w:val="00AB0DCB"/>
    <w:rsid w:val="00AB11E5"/>
    <w:rsid w:val="00AB61C3"/>
    <w:rsid w:val="00AB6B3E"/>
    <w:rsid w:val="00AB7423"/>
    <w:rsid w:val="00AB7624"/>
    <w:rsid w:val="00AC00EF"/>
    <w:rsid w:val="00AC270B"/>
    <w:rsid w:val="00AC2C49"/>
    <w:rsid w:val="00AC2E77"/>
    <w:rsid w:val="00AC4F70"/>
    <w:rsid w:val="00AC56B8"/>
    <w:rsid w:val="00AC6EC8"/>
    <w:rsid w:val="00AC7DCD"/>
    <w:rsid w:val="00AD02D2"/>
    <w:rsid w:val="00AD1F18"/>
    <w:rsid w:val="00AD2931"/>
    <w:rsid w:val="00AD4376"/>
    <w:rsid w:val="00AD587D"/>
    <w:rsid w:val="00AD7A1C"/>
    <w:rsid w:val="00AD7A4C"/>
    <w:rsid w:val="00AE0C74"/>
    <w:rsid w:val="00AE200C"/>
    <w:rsid w:val="00AE3150"/>
    <w:rsid w:val="00AE3D50"/>
    <w:rsid w:val="00AE4EF3"/>
    <w:rsid w:val="00AE727E"/>
    <w:rsid w:val="00AE738D"/>
    <w:rsid w:val="00AF2B7B"/>
    <w:rsid w:val="00AF3A20"/>
    <w:rsid w:val="00AF4423"/>
    <w:rsid w:val="00AF44CD"/>
    <w:rsid w:val="00AF5B19"/>
    <w:rsid w:val="00AF60D2"/>
    <w:rsid w:val="00AF6D33"/>
    <w:rsid w:val="00AF7324"/>
    <w:rsid w:val="00AF78D4"/>
    <w:rsid w:val="00B02BE4"/>
    <w:rsid w:val="00B02D45"/>
    <w:rsid w:val="00B031FB"/>
    <w:rsid w:val="00B035D7"/>
    <w:rsid w:val="00B04951"/>
    <w:rsid w:val="00B05629"/>
    <w:rsid w:val="00B07638"/>
    <w:rsid w:val="00B07792"/>
    <w:rsid w:val="00B077D8"/>
    <w:rsid w:val="00B1042C"/>
    <w:rsid w:val="00B13F54"/>
    <w:rsid w:val="00B1486E"/>
    <w:rsid w:val="00B15067"/>
    <w:rsid w:val="00B155BA"/>
    <w:rsid w:val="00B16217"/>
    <w:rsid w:val="00B16E45"/>
    <w:rsid w:val="00B17215"/>
    <w:rsid w:val="00B21534"/>
    <w:rsid w:val="00B22905"/>
    <w:rsid w:val="00B22A70"/>
    <w:rsid w:val="00B2449B"/>
    <w:rsid w:val="00B26873"/>
    <w:rsid w:val="00B276B9"/>
    <w:rsid w:val="00B30075"/>
    <w:rsid w:val="00B325B1"/>
    <w:rsid w:val="00B32C03"/>
    <w:rsid w:val="00B32C04"/>
    <w:rsid w:val="00B358F3"/>
    <w:rsid w:val="00B3593D"/>
    <w:rsid w:val="00B374C6"/>
    <w:rsid w:val="00B3798D"/>
    <w:rsid w:val="00B42095"/>
    <w:rsid w:val="00B4276B"/>
    <w:rsid w:val="00B43589"/>
    <w:rsid w:val="00B43FE6"/>
    <w:rsid w:val="00B44018"/>
    <w:rsid w:val="00B44D66"/>
    <w:rsid w:val="00B46651"/>
    <w:rsid w:val="00B47314"/>
    <w:rsid w:val="00B474F8"/>
    <w:rsid w:val="00B47C93"/>
    <w:rsid w:val="00B5004B"/>
    <w:rsid w:val="00B565D5"/>
    <w:rsid w:val="00B60FFE"/>
    <w:rsid w:val="00B6141D"/>
    <w:rsid w:val="00B62828"/>
    <w:rsid w:val="00B6555A"/>
    <w:rsid w:val="00B65D70"/>
    <w:rsid w:val="00B67DC6"/>
    <w:rsid w:val="00B701D7"/>
    <w:rsid w:val="00B70332"/>
    <w:rsid w:val="00B71F57"/>
    <w:rsid w:val="00B72EEB"/>
    <w:rsid w:val="00B757DB"/>
    <w:rsid w:val="00B76980"/>
    <w:rsid w:val="00B77781"/>
    <w:rsid w:val="00B81195"/>
    <w:rsid w:val="00B81AE3"/>
    <w:rsid w:val="00B81B5F"/>
    <w:rsid w:val="00B822AB"/>
    <w:rsid w:val="00B84913"/>
    <w:rsid w:val="00B85679"/>
    <w:rsid w:val="00B877FC"/>
    <w:rsid w:val="00B90B36"/>
    <w:rsid w:val="00B91DCF"/>
    <w:rsid w:val="00B9241A"/>
    <w:rsid w:val="00B93F3F"/>
    <w:rsid w:val="00B94DD2"/>
    <w:rsid w:val="00B96953"/>
    <w:rsid w:val="00B96A8C"/>
    <w:rsid w:val="00B96E38"/>
    <w:rsid w:val="00B9710B"/>
    <w:rsid w:val="00BA02CC"/>
    <w:rsid w:val="00BA0B90"/>
    <w:rsid w:val="00BA3680"/>
    <w:rsid w:val="00BA5962"/>
    <w:rsid w:val="00BA6EE9"/>
    <w:rsid w:val="00BB0C33"/>
    <w:rsid w:val="00BB1764"/>
    <w:rsid w:val="00BB2296"/>
    <w:rsid w:val="00BB2B07"/>
    <w:rsid w:val="00BB405A"/>
    <w:rsid w:val="00BB5099"/>
    <w:rsid w:val="00BB5E19"/>
    <w:rsid w:val="00BB6E2D"/>
    <w:rsid w:val="00BB7752"/>
    <w:rsid w:val="00BC0E89"/>
    <w:rsid w:val="00BC256B"/>
    <w:rsid w:val="00BC25D4"/>
    <w:rsid w:val="00BC31B3"/>
    <w:rsid w:val="00BC42E7"/>
    <w:rsid w:val="00BC48AE"/>
    <w:rsid w:val="00BC58C3"/>
    <w:rsid w:val="00BC5B06"/>
    <w:rsid w:val="00BC7372"/>
    <w:rsid w:val="00BC74BD"/>
    <w:rsid w:val="00BD173B"/>
    <w:rsid w:val="00BD28CC"/>
    <w:rsid w:val="00BD2E7A"/>
    <w:rsid w:val="00BD64B9"/>
    <w:rsid w:val="00BD68C9"/>
    <w:rsid w:val="00BD6CAD"/>
    <w:rsid w:val="00BD79AC"/>
    <w:rsid w:val="00BE06B1"/>
    <w:rsid w:val="00BE3C3E"/>
    <w:rsid w:val="00BE4DE2"/>
    <w:rsid w:val="00BE5536"/>
    <w:rsid w:val="00BE5FD6"/>
    <w:rsid w:val="00BE603C"/>
    <w:rsid w:val="00BE6C52"/>
    <w:rsid w:val="00BE7069"/>
    <w:rsid w:val="00BF185D"/>
    <w:rsid w:val="00BF1C6E"/>
    <w:rsid w:val="00BF1ECD"/>
    <w:rsid w:val="00BF3CDD"/>
    <w:rsid w:val="00BF41C8"/>
    <w:rsid w:val="00BF4381"/>
    <w:rsid w:val="00BF54DC"/>
    <w:rsid w:val="00BF6AE6"/>
    <w:rsid w:val="00BF71F2"/>
    <w:rsid w:val="00C00DDC"/>
    <w:rsid w:val="00C00E22"/>
    <w:rsid w:val="00C016AD"/>
    <w:rsid w:val="00C01CDE"/>
    <w:rsid w:val="00C02841"/>
    <w:rsid w:val="00C02C5E"/>
    <w:rsid w:val="00C03CC8"/>
    <w:rsid w:val="00C04223"/>
    <w:rsid w:val="00C05035"/>
    <w:rsid w:val="00C055A7"/>
    <w:rsid w:val="00C06FA1"/>
    <w:rsid w:val="00C1024F"/>
    <w:rsid w:val="00C10970"/>
    <w:rsid w:val="00C11757"/>
    <w:rsid w:val="00C1193F"/>
    <w:rsid w:val="00C12637"/>
    <w:rsid w:val="00C126AD"/>
    <w:rsid w:val="00C133E3"/>
    <w:rsid w:val="00C1399A"/>
    <w:rsid w:val="00C15D4D"/>
    <w:rsid w:val="00C203E6"/>
    <w:rsid w:val="00C21402"/>
    <w:rsid w:val="00C2156A"/>
    <w:rsid w:val="00C21670"/>
    <w:rsid w:val="00C21DF1"/>
    <w:rsid w:val="00C22BAC"/>
    <w:rsid w:val="00C2596A"/>
    <w:rsid w:val="00C25D19"/>
    <w:rsid w:val="00C27228"/>
    <w:rsid w:val="00C30696"/>
    <w:rsid w:val="00C30731"/>
    <w:rsid w:val="00C32989"/>
    <w:rsid w:val="00C32BFA"/>
    <w:rsid w:val="00C332AB"/>
    <w:rsid w:val="00C3414C"/>
    <w:rsid w:val="00C400B7"/>
    <w:rsid w:val="00C41506"/>
    <w:rsid w:val="00C422B1"/>
    <w:rsid w:val="00C42716"/>
    <w:rsid w:val="00C42EFD"/>
    <w:rsid w:val="00C45332"/>
    <w:rsid w:val="00C500D0"/>
    <w:rsid w:val="00C50595"/>
    <w:rsid w:val="00C53B2B"/>
    <w:rsid w:val="00C5531A"/>
    <w:rsid w:val="00C56274"/>
    <w:rsid w:val="00C576F7"/>
    <w:rsid w:val="00C578AD"/>
    <w:rsid w:val="00C57912"/>
    <w:rsid w:val="00C57C3A"/>
    <w:rsid w:val="00C60208"/>
    <w:rsid w:val="00C609ED"/>
    <w:rsid w:val="00C60A66"/>
    <w:rsid w:val="00C62684"/>
    <w:rsid w:val="00C638C1"/>
    <w:rsid w:val="00C63E17"/>
    <w:rsid w:val="00C64853"/>
    <w:rsid w:val="00C661BF"/>
    <w:rsid w:val="00C675A8"/>
    <w:rsid w:val="00C70CDF"/>
    <w:rsid w:val="00C70FF6"/>
    <w:rsid w:val="00C72FF8"/>
    <w:rsid w:val="00C74A6D"/>
    <w:rsid w:val="00C75275"/>
    <w:rsid w:val="00C75707"/>
    <w:rsid w:val="00C75C63"/>
    <w:rsid w:val="00C7717B"/>
    <w:rsid w:val="00C80E92"/>
    <w:rsid w:val="00C81FF8"/>
    <w:rsid w:val="00C82C1E"/>
    <w:rsid w:val="00C83717"/>
    <w:rsid w:val="00C85237"/>
    <w:rsid w:val="00C86E50"/>
    <w:rsid w:val="00C87BBE"/>
    <w:rsid w:val="00C900C3"/>
    <w:rsid w:val="00C91676"/>
    <w:rsid w:val="00C94BAF"/>
    <w:rsid w:val="00C961B7"/>
    <w:rsid w:val="00C96222"/>
    <w:rsid w:val="00C96B80"/>
    <w:rsid w:val="00CA013B"/>
    <w:rsid w:val="00CA02D5"/>
    <w:rsid w:val="00CA087D"/>
    <w:rsid w:val="00CA15F5"/>
    <w:rsid w:val="00CA1625"/>
    <w:rsid w:val="00CA2BD8"/>
    <w:rsid w:val="00CA45A4"/>
    <w:rsid w:val="00CA56C4"/>
    <w:rsid w:val="00CA5B7F"/>
    <w:rsid w:val="00CA60A2"/>
    <w:rsid w:val="00CA650C"/>
    <w:rsid w:val="00CA6A1B"/>
    <w:rsid w:val="00CA6CC7"/>
    <w:rsid w:val="00CA7624"/>
    <w:rsid w:val="00CB398E"/>
    <w:rsid w:val="00CB55A6"/>
    <w:rsid w:val="00CB6BF0"/>
    <w:rsid w:val="00CB7BCF"/>
    <w:rsid w:val="00CC3D73"/>
    <w:rsid w:val="00CC3FFB"/>
    <w:rsid w:val="00CC51A8"/>
    <w:rsid w:val="00CC5468"/>
    <w:rsid w:val="00CC59DA"/>
    <w:rsid w:val="00CC60AE"/>
    <w:rsid w:val="00CD07CC"/>
    <w:rsid w:val="00CD085C"/>
    <w:rsid w:val="00CD0F8D"/>
    <w:rsid w:val="00CD305F"/>
    <w:rsid w:val="00CD365F"/>
    <w:rsid w:val="00CD5BA3"/>
    <w:rsid w:val="00CE0789"/>
    <w:rsid w:val="00CE3BDF"/>
    <w:rsid w:val="00CE75ED"/>
    <w:rsid w:val="00CF0AA5"/>
    <w:rsid w:val="00CF2D2B"/>
    <w:rsid w:val="00CF37AC"/>
    <w:rsid w:val="00CF4BB9"/>
    <w:rsid w:val="00CF67D8"/>
    <w:rsid w:val="00CF696E"/>
    <w:rsid w:val="00D0004A"/>
    <w:rsid w:val="00D008F3"/>
    <w:rsid w:val="00D0213A"/>
    <w:rsid w:val="00D0249C"/>
    <w:rsid w:val="00D04521"/>
    <w:rsid w:val="00D0452C"/>
    <w:rsid w:val="00D04FC2"/>
    <w:rsid w:val="00D06E15"/>
    <w:rsid w:val="00D07DA7"/>
    <w:rsid w:val="00D107A9"/>
    <w:rsid w:val="00D10D8D"/>
    <w:rsid w:val="00D1105B"/>
    <w:rsid w:val="00D12443"/>
    <w:rsid w:val="00D125F7"/>
    <w:rsid w:val="00D1344C"/>
    <w:rsid w:val="00D137FE"/>
    <w:rsid w:val="00D14F04"/>
    <w:rsid w:val="00D161C3"/>
    <w:rsid w:val="00D16CF6"/>
    <w:rsid w:val="00D179D3"/>
    <w:rsid w:val="00D20071"/>
    <w:rsid w:val="00D2155B"/>
    <w:rsid w:val="00D21853"/>
    <w:rsid w:val="00D225FC"/>
    <w:rsid w:val="00D23AFB"/>
    <w:rsid w:val="00D25949"/>
    <w:rsid w:val="00D2646D"/>
    <w:rsid w:val="00D27DFE"/>
    <w:rsid w:val="00D32602"/>
    <w:rsid w:val="00D329FA"/>
    <w:rsid w:val="00D34D5C"/>
    <w:rsid w:val="00D351D9"/>
    <w:rsid w:val="00D35E9F"/>
    <w:rsid w:val="00D36579"/>
    <w:rsid w:val="00D4008E"/>
    <w:rsid w:val="00D40D73"/>
    <w:rsid w:val="00D41643"/>
    <w:rsid w:val="00D4326C"/>
    <w:rsid w:val="00D4334B"/>
    <w:rsid w:val="00D43420"/>
    <w:rsid w:val="00D44184"/>
    <w:rsid w:val="00D4469D"/>
    <w:rsid w:val="00D44936"/>
    <w:rsid w:val="00D44C69"/>
    <w:rsid w:val="00D45E39"/>
    <w:rsid w:val="00D45E3B"/>
    <w:rsid w:val="00D4678D"/>
    <w:rsid w:val="00D470DC"/>
    <w:rsid w:val="00D473DD"/>
    <w:rsid w:val="00D504C8"/>
    <w:rsid w:val="00D51888"/>
    <w:rsid w:val="00D51D74"/>
    <w:rsid w:val="00D52292"/>
    <w:rsid w:val="00D53ADE"/>
    <w:rsid w:val="00D54563"/>
    <w:rsid w:val="00D548CD"/>
    <w:rsid w:val="00D55EA7"/>
    <w:rsid w:val="00D61718"/>
    <w:rsid w:val="00D62C89"/>
    <w:rsid w:val="00D63933"/>
    <w:rsid w:val="00D63F7C"/>
    <w:rsid w:val="00D7088F"/>
    <w:rsid w:val="00D70971"/>
    <w:rsid w:val="00D71CDF"/>
    <w:rsid w:val="00D722C1"/>
    <w:rsid w:val="00D73C71"/>
    <w:rsid w:val="00D7471A"/>
    <w:rsid w:val="00D74F2F"/>
    <w:rsid w:val="00D7792C"/>
    <w:rsid w:val="00D806D3"/>
    <w:rsid w:val="00D81F7B"/>
    <w:rsid w:val="00D8271F"/>
    <w:rsid w:val="00D83D8F"/>
    <w:rsid w:val="00D84835"/>
    <w:rsid w:val="00D871B8"/>
    <w:rsid w:val="00D872A1"/>
    <w:rsid w:val="00D87318"/>
    <w:rsid w:val="00D87B41"/>
    <w:rsid w:val="00D90105"/>
    <w:rsid w:val="00D91D8E"/>
    <w:rsid w:val="00D923FB"/>
    <w:rsid w:val="00D93CAB"/>
    <w:rsid w:val="00D973B7"/>
    <w:rsid w:val="00D9774A"/>
    <w:rsid w:val="00DA03AE"/>
    <w:rsid w:val="00DA0BEB"/>
    <w:rsid w:val="00DA416E"/>
    <w:rsid w:val="00DA4873"/>
    <w:rsid w:val="00DA5A95"/>
    <w:rsid w:val="00DB2997"/>
    <w:rsid w:val="00DB2DFF"/>
    <w:rsid w:val="00DB4808"/>
    <w:rsid w:val="00DB6EE9"/>
    <w:rsid w:val="00DB6F32"/>
    <w:rsid w:val="00DB6F84"/>
    <w:rsid w:val="00DC211E"/>
    <w:rsid w:val="00DC24DC"/>
    <w:rsid w:val="00DC6F22"/>
    <w:rsid w:val="00DC7CE6"/>
    <w:rsid w:val="00DC7EAD"/>
    <w:rsid w:val="00DD0517"/>
    <w:rsid w:val="00DD10FB"/>
    <w:rsid w:val="00DD2077"/>
    <w:rsid w:val="00DD2717"/>
    <w:rsid w:val="00DD28E7"/>
    <w:rsid w:val="00DD3191"/>
    <w:rsid w:val="00DD3D31"/>
    <w:rsid w:val="00DD3F4A"/>
    <w:rsid w:val="00DD440D"/>
    <w:rsid w:val="00DD4B61"/>
    <w:rsid w:val="00DD5C32"/>
    <w:rsid w:val="00DD6228"/>
    <w:rsid w:val="00DD66AA"/>
    <w:rsid w:val="00DE166B"/>
    <w:rsid w:val="00DE1A4E"/>
    <w:rsid w:val="00DE1AAC"/>
    <w:rsid w:val="00DE1BC9"/>
    <w:rsid w:val="00DE42EA"/>
    <w:rsid w:val="00DE6035"/>
    <w:rsid w:val="00DE61C1"/>
    <w:rsid w:val="00DE748F"/>
    <w:rsid w:val="00DE7A51"/>
    <w:rsid w:val="00DF0F46"/>
    <w:rsid w:val="00DF3831"/>
    <w:rsid w:val="00DF389F"/>
    <w:rsid w:val="00DF44E2"/>
    <w:rsid w:val="00DF5052"/>
    <w:rsid w:val="00DF56C1"/>
    <w:rsid w:val="00DF6A91"/>
    <w:rsid w:val="00DF6EF5"/>
    <w:rsid w:val="00DF715E"/>
    <w:rsid w:val="00DF7A63"/>
    <w:rsid w:val="00DF7AFC"/>
    <w:rsid w:val="00E02266"/>
    <w:rsid w:val="00E062D6"/>
    <w:rsid w:val="00E07B03"/>
    <w:rsid w:val="00E11C24"/>
    <w:rsid w:val="00E122B2"/>
    <w:rsid w:val="00E16F31"/>
    <w:rsid w:val="00E22163"/>
    <w:rsid w:val="00E22D57"/>
    <w:rsid w:val="00E23393"/>
    <w:rsid w:val="00E23537"/>
    <w:rsid w:val="00E2471B"/>
    <w:rsid w:val="00E25278"/>
    <w:rsid w:val="00E25926"/>
    <w:rsid w:val="00E27066"/>
    <w:rsid w:val="00E2748B"/>
    <w:rsid w:val="00E32E41"/>
    <w:rsid w:val="00E341F5"/>
    <w:rsid w:val="00E3498D"/>
    <w:rsid w:val="00E35585"/>
    <w:rsid w:val="00E358EE"/>
    <w:rsid w:val="00E36702"/>
    <w:rsid w:val="00E36EFF"/>
    <w:rsid w:val="00E42B07"/>
    <w:rsid w:val="00E44C68"/>
    <w:rsid w:val="00E45518"/>
    <w:rsid w:val="00E458BC"/>
    <w:rsid w:val="00E4701F"/>
    <w:rsid w:val="00E50585"/>
    <w:rsid w:val="00E55A45"/>
    <w:rsid w:val="00E55F97"/>
    <w:rsid w:val="00E563DF"/>
    <w:rsid w:val="00E56CA9"/>
    <w:rsid w:val="00E570CE"/>
    <w:rsid w:val="00E6097F"/>
    <w:rsid w:val="00E60984"/>
    <w:rsid w:val="00E617AF"/>
    <w:rsid w:val="00E61961"/>
    <w:rsid w:val="00E642D7"/>
    <w:rsid w:val="00E70354"/>
    <w:rsid w:val="00E70B13"/>
    <w:rsid w:val="00E70E2B"/>
    <w:rsid w:val="00E71C8D"/>
    <w:rsid w:val="00E7258D"/>
    <w:rsid w:val="00E73BC7"/>
    <w:rsid w:val="00E74211"/>
    <w:rsid w:val="00E7432A"/>
    <w:rsid w:val="00E75C9E"/>
    <w:rsid w:val="00E76D15"/>
    <w:rsid w:val="00E80D4C"/>
    <w:rsid w:val="00E817B8"/>
    <w:rsid w:val="00E82905"/>
    <w:rsid w:val="00E82FD2"/>
    <w:rsid w:val="00E83056"/>
    <w:rsid w:val="00E85682"/>
    <w:rsid w:val="00E8617D"/>
    <w:rsid w:val="00E90DEF"/>
    <w:rsid w:val="00E91FE0"/>
    <w:rsid w:val="00E927BD"/>
    <w:rsid w:val="00E92C48"/>
    <w:rsid w:val="00E94AA7"/>
    <w:rsid w:val="00E96121"/>
    <w:rsid w:val="00E9707B"/>
    <w:rsid w:val="00E970EA"/>
    <w:rsid w:val="00EA11AA"/>
    <w:rsid w:val="00EA3C25"/>
    <w:rsid w:val="00EA6EA8"/>
    <w:rsid w:val="00EA7110"/>
    <w:rsid w:val="00EB46AD"/>
    <w:rsid w:val="00EB4D75"/>
    <w:rsid w:val="00EB584A"/>
    <w:rsid w:val="00EB6DDE"/>
    <w:rsid w:val="00EB6DE0"/>
    <w:rsid w:val="00EB7965"/>
    <w:rsid w:val="00EC12B3"/>
    <w:rsid w:val="00EC1E88"/>
    <w:rsid w:val="00EC2BD9"/>
    <w:rsid w:val="00EC3DFA"/>
    <w:rsid w:val="00EC5003"/>
    <w:rsid w:val="00EC53E9"/>
    <w:rsid w:val="00EC61BD"/>
    <w:rsid w:val="00EC7777"/>
    <w:rsid w:val="00EC7E25"/>
    <w:rsid w:val="00ED127C"/>
    <w:rsid w:val="00ED39D8"/>
    <w:rsid w:val="00ED3C72"/>
    <w:rsid w:val="00ED5C4A"/>
    <w:rsid w:val="00ED5CB9"/>
    <w:rsid w:val="00EE0083"/>
    <w:rsid w:val="00EE0575"/>
    <w:rsid w:val="00EE1644"/>
    <w:rsid w:val="00EE2608"/>
    <w:rsid w:val="00EE28B3"/>
    <w:rsid w:val="00EE3470"/>
    <w:rsid w:val="00EE3E32"/>
    <w:rsid w:val="00EE4075"/>
    <w:rsid w:val="00EE488D"/>
    <w:rsid w:val="00EE7FF0"/>
    <w:rsid w:val="00EF0350"/>
    <w:rsid w:val="00EF046A"/>
    <w:rsid w:val="00EF1B8D"/>
    <w:rsid w:val="00EF2046"/>
    <w:rsid w:val="00EF3DF8"/>
    <w:rsid w:val="00EF4348"/>
    <w:rsid w:val="00EF519F"/>
    <w:rsid w:val="00EF57BD"/>
    <w:rsid w:val="00EF5FD8"/>
    <w:rsid w:val="00EF6455"/>
    <w:rsid w:val="00EF6D6A"/>
    <w:rsid w:val="00F007DD"/>
    <w:rsid w:val="00F01768"/>
    <w:rsid w:val="00F02BB0"/>
    <w:rsid w:val="00F02D8A"/>
    <w:rsid w:val="00F066AE"/>
    <w:rsid w:val="00F11689"/>
    <w:rsid w:val="00F1309D"/>
    <w:rsid w:val="00F13631"/>
    <w:rsid w:val="00F141A1"/>
    <w:rsid w:val="00F14763"/>
    <w:rsid w:val="00F14AB7"/>
    <w:rsid w:val="00F15248"/>
    <w:rsid w:val="00F17110"/>
    <w:rsid w:val="00F200F8"/>
    <w:rsid w:val="00F206E8"/>
    <w:rsid w:val="00F213ED"/>
    <w:rsid w:val="00F22765"/>
    <w:rsid w:val="00F22E62"/>
    <w:rsid w:val="00F231B6"/>
    <w:rsid w:val="00F2362A"/>
    <w:rsid w:val="00F25C1E"/>
    <w:rsid w:val="00F26F0F"/>
    <w:rsid w:val="00F273BD"/>
    <w:rsid w:val="00F303AA"/>
    <w:rsid w:val="00F31B73"/>
    <w:rsid w:val="00F32EA1"/>
    <w:rsid w:val="00F33336"/>
    <w:rsid w:val="00F3459C"/>
    <w:rsid w:val="00F34AC7"/>
    <w:rsid w:val="00F379F1"/>
    <w:rsid w:val="00F37DA6"/>
    <w:rsid w:val="00F4253C"/>
    <w:rsid w:val="00F43ABC"/>
    <w:rsid w:val="00F45407"/>
    <w:rsid w:val="00F457E4"/>
    <w:rsid w:val="00F45EE7"/>
    <w:rsid w:val="00F4697C"/>
    <w:rsid w:val="00F503B8"/>
    <w:rsid w:val="00F508F4"/>
    <w:rsid w:val="00F51182"/>
    <w:rsid w:val="00F53202"/>
    <w:rsid w:val="00F54152"/>
    <w:rsid w:val="00F5465A"/>
    <w:rsid w:val="00F56294"/>
    <w:rsid w:val="00F577E2"/>
    <w:rsid w:val="00F57851"/>
    <w:rsid w:val="00F602D7"/>
    <w:rsid w:val="00F62817"/>
    <w:rsid w:val="00F62D91"/>
    <w:rsid w:val="00F63DFE"/>
    <w:rsid w:val="00F64DEF"/>
    <w:rsid w:val="00F656A7"/>
    <w:rsid w:val="00F66831"/>
    <w:rsid w:val="00F71FD0"/>
    <w:rsid w:val="00F71FE4"/>
    <w:rsid w:val="00F72751"/>
    <w:rsid w:val="00F765A3"/>
    <w:rsid w:val="00F76728"/>
    <w:rsid w:val="00F80BA8"/>
    <w:rsid w:val="00F80DE1"/>
    <w:rsid w:val="00F818D1"/>
    <w:rsid w:val="00F81D4B"/>
    <w:rsid w:val="00F82CAC"/>
    <w:rsid w:val="00F837C5"/>
    <w:rsid w:val="00F84193"/>
    <w:rsid w:val="00F85734"/>
    <w:rsid w:val="00F85D0A"/>
    <w:rsid w:val="00F869F6"/>
    <w:rsid w:val="00F86DBB"/>
    <w:rsid w:val="00F87C79"/>
    <w:rsid w:val="00F90DF1"/>
    <w:rsid w:val="00F92101"/>
    <w:rsid w:val="00F93258"/>
    <w:rsid w:val="00F95E39"/>
    <w:rsid w:val="00F9778E"/>
    <w:rsid w:val="00FA02CB"/>
    <w:rsid w:val="00FA0870"/>
    <w:rsid w:val="00FA1DDC"/>
    <w:rsid w:val="00FA53AB"/>
    <w:rsid w:val="00FA6042"/>
    <w:rsid w:val="00FA6628"/>
    <w:rsid w:val="00FA6F5B"/>
    <w:rsid w:val="00FA73C7"/>
    <w:rsid w:val="00FB074E"/>
    <w:rsid w:val="00FB0E72"/>
    <w:rsid w:val="00FB160F"/>
    <w:rsid w:val="00FB25C2"/>
    <w:rsid w:val="00FB315E"/>
    <w:rsid w:val="00FC03D2"/>
    <w:rsid w:val="00FC14BD"/>
    <w:rsid w:val="00FC5204"/>
    <w:rsid w:val="00FC579F"/>
    <w:rsid w:val="00FC5854"/>
    <w:rsid w:val="00FC6CC9"/>
    <w:rsid w:val="00FC7AAD"/>
    <w:rsid w:val="00FD0824"/>
    <w:rsid w:val="00FD0BBE"/>
    <w:rsid w:val="00FD11DE"/>
    <w:rsid w:val="00FD1530"/>
    <w:rsid w:val="00FD16AC"/>
    <w:rsid w:val="00FD4888"/>
    <w:rsid w:val="00FD4DDB"/>
    <w:rsid w:val="00FD7552"/>
    <w:rsid w:val="00FE0137"/>
    <w:rsid w:val="00FE0A13"/>
    <w:rsid w:val="00FE0F9C"/>
    <w:rsid w:val="00FE127C"/>
    <w:rsid w:val="00FE3A3F"/>
    <w:rsid w:val="00FE4267"/>
    <w:rsid w:val="00FE4C24"/>
    <w:rsid w:val="00FF0798"/>
    <w:rsid w:val="00FF0FFA"/>
    <w:rsid w:val="00FF34D8"/>
    <w:rsid w:val="00FF424F"/>
    <w:rsid w:val="00FF49C3"/>
    <w:rsid w:val="00FF524A"/>
    <w:rsid w:val="00FF5464"/>
    <w:rsid w:val="00FF753E"/>
    <w:rsid w:val="010DE44F"/>
    <w:rsid w:val="01657D6B"/>
    <w:rsid w:val="0190B6AC"/>
    <w:rsid w:val="019463DC"/>
    <w:rsid w:val="01A0FC76"/>
    <w:rsid w:val="01B0EDD1"/>
    <w:rsid w:val="01D5A23E"/>
    <w:rsid w:val="02210B04"/>
    <w:rsid w:val="02305407"/>
    <w:rsid w:val="0272D6B3"/>
    <w:rsid w:val="0272E430"/>
    <w:rsid w:val="027CE194"/>
    <w:rsid w:val="028270E8"/>
    <w:rsid w:val="0298DDF1"/>
    <w:rsid w:val="02F03316"/>
    <w:rsid w:val="030DB147"/>
    <w:rsid w:val="030F360A"/>
    <w:rsid w:val="035299E8"/>
    <w:rsid w:val="03BEF0B1"/>
    <w:rsid w:val="03E134D7"/>
    <w:rsid w:val="04238C1D"/>
    <w:rsid w:val="04B3EDA5"/>
    <w:rsid w:val="04CB31AD"/>
    <w:rsid w:val="04E6ABE3"/>
    <w:rsid w:val="04F1153F"/>
    <w:rsid w:val="0524A58C"/>
    <w:rsid w:val="056D1D78"/>
    <w:rsid w:val="057CD217"/>
    <w:rsid w:val="059EB94F"/>
    <w:rsid w:val="05CA9C80"/>
    <w:rsid w:val="060D8508"/>
    <w:rsid w:val="06153528"/>
    <w:rsid w:val="0621AED8"/>
    <w:rsid w:val="0653CF20"/>
    <w:rsid w:val="065FB915"/>
    <w:rsid w:val="06758982"/>
    <w:rsid w:val="0687DBC8"/>
    <w:rsid w:val="068C530A"/>
    <w:rsid w:val="06E9212B"/>
    <w:rsid w:val="06EEB55A"/>
    <w:rsid w:val="06EFDD5C"/>
    <w:rsid w:val="07718FF2"/>
    <w:rsid w:val="0784E5AC"/>
    <w:rsid w:val="07A35914"/>
    <w:rsid w:val="07D5B110"/>
    <w:rsid w:val="07DF9B62"/>
    <w:rsid w:val="07E80665"/>
    <w:rsid w:val="08156AA4"/>
    <w:rsid w:val="085D97F2"/>
    <w:rsid w:val="088E2A64"/>
    <w:rsid w:val="08E59E1C"/>
    <w:rsid w:val="0913152D"/>
    <w:rsid w:val="098A3FA4"/>
    <w:rsid w:val="098C3250"/>
    <w:rsid w:val="09E3875A"/>
    <w:rsid w:val="0A37B578"/>
    <w:rsid w:val="0A395AC4"/>
    <w:rsid w:val="0A5B7122"/>
    <w:rsid w:val="0A63CDF5"/>
    <w:rsid w:val="0A95733C"/>
    <w:rsid w:val="0A9782BA"/>
    <w:rsid w:val="0A9E2A5C"/>
    <w:rsid w:val="0AE5941E"/>
    <w:rsid w:val="0B2248E2"/>
    <w:rsid w:val="0B2267D9"/>
    <w:rsid w:val="0B2F8F1B"/>
    <w:rsid w:val="0B53230D"/>
    <w:rsid w:val="0B8BF9DB"/>
    <w:rsid w:val="0BDFF5E6"/>
    <w:rsid w:val="0BED6BE5"/>
    <w:rsid w:val="0C0AFDA0"/>
    <w:rsid w:val="0C307DA3"/>
    <w:rsid w:val="0C3401E5"/>
    <w:rsid w:val="0C36A941"/>
    <w:rsid w:val="0C628AAD"/>
    <w:rsid w:val="0C7AC7EE"/>
    <w:rsid w:val="0CAA5481"/>
    <w:rsid w:val="0D4EAFDE"/>
    <w:rsid w:val="0DA07630"/>
    <w:rsid w:val="0DA7649D"/>
    <w:rsid w:val="0E47B078"/>
    <w:rsid w:val="0E9586B3"/>
    <w:rsid w:val="0EAE98ED"/>
    <w:rsid w:val="0EDF8F35"/>
    <w:rsid w:val="0EE8235D"/>
    <w:rsid w:val="0EF2FC18"/>
    <w:rsid w:val="0F1E3CB5"/>
    <w:rsid w:val="0F32993C"/>
    <w:rsid w:val="0F32BD7D"/>
    <w:rsid w:val="0F7D248B"/>
    <w:rsid w:val="0FA2894B"/>
    <w:rsid w:val="0FA6E221"/>
    <w:rsid w:val="0FAC962A"/>
    <w:rsid w:val="0FB069FA"/>
    <w:rsid w:val="0FC054FF"/>
    <w:rsid w:val="0FC59E24"/>
    <w:rsid w:val="0FDB33C5"/>
    <w:rsid w:val="104C6027"/>
    <w:rsid w:val="10534CE1"/>
    <w:rsid w:val="1059C300"/>
    <w:rsid w:val="106BE62A"/>
    <w:rsid w:val="108E0E20"/>
    <w:rsid w:val="10955114"/>
    <w:rsid w:val="10AED8E8"/>
    <w:rsid w:val="10AF74C7"/>
    <w:rsid w:val="10BBE5C1"/>
    <w:rsid w:val="10FD522A"/>
    <w:rsid w:val="10FDCFCF"/>
    <w:rsid w:val="1115E407"/>
    <w:rsid w:val="11279BAE"/>
    <w:rsid w:val="114A7F88"/>
    <w:rsid w:val="1179D169"/>
    <w:rsid w:val="1181B6EF"/>
    <w:rsid w:val="11CB4278"/>
    <w:rsid w:val="11D4094F"/>
    <w:rsid w:val="12284494"/>
    <w:rsid w:val="12776A49"/>
    <w:rsid w:val="1298752C"/>
    <w:rsid w:val="1301703C"/>
    <w:rsid w:val="138395AD"/>
    <w:rsid w:val="13891017"/>
    <w:rsid w:val="138AECEB"/>
    <w:rsid w:val="138E61DF"/>
    <w:rsid w:val="13BE50EF"/>
    <w:rsid w:val="1434A39D"/>
    <w:rsid w:val="1435026D"/>
    <w:rsid w:val="144DBBA9"/>
    <w:rsid w:val="14586F1E"/>
    <w:rsid w:val="145E05B9"/>
    <w:rsid w:val="14679758"/>
    <w:rsid w:val="14951553"/>
    <w:rsid w:val="14B80630"/>
    <w:rsid w:val="14BEF521"/>
    <w:rsid w:val="14CD5E0D"/>
    <w:rsid w:val="14ED885E"/>
    <w:rsid w:val="1509B477"/>
    <w:rsid w:val="151842B3"/>
    <w:rsid w:val="15BB8063"/>
    <w:rsid w:val="15BF42F5"/>
    <w:rsid w:val="15C24B1C"/>
    <w:rsid w:val="160ADD76"/>
    <w:rsid w:val="1621685D"/>
    <w:rsid w:val="1652446F"/>
    <w:rsid w:val="16A55276"/>
    <w:rsid w:val="16AE2E95"/>
    <w:rsid w:val="16DE31F7"/>
    <w:rsid w:val="16EE7219"/>
    <w:rsid w:val="170ABD88"/>
    <w:rsid w:val="1727ADB0"/>
    <w:rsid w:val="173147D5"/>
    <w:rsid w:val="1736DB37"/>
    <w:rsid w:val="17562E77"/>
    <w:rsid w:val="1757B47B"/>
    <w:rsid w:val="175F2A72"/>
    <w:rsid w:val="178DADBA"/>
    <w:rsid w:val="1802AD27"/>
    <w:rsid w:val="180928F3"/>
    <w:rsid w:val="186139A3"/>
    <w:rsid w:val="188CDDDD"/>
    <w:rsid w:val="18BEAA31"/>
    <w:rsid w:val="18C5256D"/>
    <w:rsid w:val="19298F84"/>
    <w:rsid w:val="19781945"/>
    <w:rsid w:val="19918430"/>
    <w:rsid w:val="19FC6A28"/>
    <w:rsid w:val="19FCD6F7"/>
    <w:rsid w:val="1A029974"/>
    <w:rsid w:val="1A03ADB2"/>
    <w:rsid w:val="1A09B371"/>
    <w:rsid w:val="1ACD82F1"/>
    <w:rsid w:val="1AF39781"/>
    <w:rsid w:val="1AF876A3"/>
    <w:rsid w:val="1B2870D9"/>
    <w:rsid w:val="1B2A1DD1"/>
    <w:rsid w:val="1B4AAC9F"/>
    <w:rsid w:val="1B56AF36"/>
    <w:rsid w:val="1B7040C3"/>
    <w:rsid w:val="1B9136C5"/>
    <w:rsid w:val="1BBC8A3A"/>
    <w:rsid w:val="1BDD0D20"/>
    <w:rsid w:val="1C12C258"/>
    <w:rsid w:val="1C1EEFD3"/>
    <w:rsid w:val="1C5DE166"/>
    <w:rsid w:val="1C6E99C6"/>
    <w:rsid w:val="1C743588"/>
    <w:rsid w:val="1CC0F1D6"/>
    <w:rsid w:val="1CCD258D"/>
    <w:rsid w:val="1CD96823"/>
    <w:rsid w:val="1CE69926"/>
    <w:rsid w:val="1CEF3056"/>
    <w:rsid w:val="1D3ADE64"/>
    <w:rsid w:val="1D49B283"/>
    <w:rsid w:val="1D4CF09E"/>
    <w:rsid w:val="1D7884A7"/>
    <w:rsid w:val="1DABC7DF"/>
    <w:rsid w:val="1DC29FF0"/>
    <w:rsid w:val="1E1CA486"/>
    <w:rsid w:val="1E636B47"/>
    <w:rsid w:val="1E6ADE3A"/>
    <w:rsid w:val="1E809CBA"/>
    <w:rsid w:val="1E835EB4"/>
    <w:rsid w:val="1EB01782"/>
    <w:rsid w:val="1EDCC0B4"/>
    <w:rsid w:val="1EE7AAE1"/>
    <w:rsid w:val="1F0B689B"/>
    <w:rsid w:val="1F0E9B15"/>
    <w:rsid w:val="1F1C4BC2"/>
    <w:rsid w:val="1F30B1F7"/>
    <w:rsid w:val="1F3F42BA"/>
    <w:rsid w:val="1F6BC8FF"/>
    <w:rsid w:val="1F985BF2"/>
    <w:rsid w:val="1FBC2822"/>
    <w:rsid w:val="1FCA5858"/>
    <w:rsid w:val="1FF1D3B3"/>
    <w:rsid w:val="202D2F65"/>
    <w:rsid w:val="204F123B"/>
    <w:rsid w:val="20616809"/>
    <w:rsid w:val="207CC7C5"/>
    <w:rsid w:val="2097084D"/>
    <w:rsid w:val="20A8C691"/>
    <w:rsid w:val="20E8F9A5"/>
    <w:rsid w:val="210A9E53"/>
    <w:rsid w:val="21440C00"/>
    <w:rsid w:val="217D74BE"/>
    <w:rsid w:val="21A21463"/>
    <w:rsid w:val="21C13975"/>
    <w:rsid w:val="21C5D6AB"/>
    <w:rsid w:val="21E6C625"/>
    <w:rsid w:val="21F5FC27"/>
    <w:rsid w:val="224D1FA2"/>
    <w:rsid w:val="22783416"/>
    <w:rsid w:val="227AECB7"/>
    <w:rsid w:val="2293148A"/>
    <w:rsid w:val="22A4364D"/>
    <w:rsid w:val="22C7B9B9"/>
    <w:rsid w:val="22F8E7B9"/>
    <w:rsid w:val="230921EB"/>
    <w:rsid w:val="235295E5"/>
    <w:rsid w:val="2379AC65"/>
    <w:rsid w:val="237EDCED"/>
    <w:rsid w:val="2391F0FA"/>
    <w:rsid w:val="239EFBC1"/>
    <w:rsid w:val="23D0CA82"/>
    <w:rsid w:val="23D52616"/>
    <w:rsid w:val="23DFD7A5"/>
    <w:rsid w:val="23E6242C"/>
    <w:rsid w:val="23E9D535"/>
    <w:rsid w:val="241718FE"/>
    <w:rsid w:val="24180902"/>
    <w:rsid w:val="2442D877"/>
    <w:rsid w:val="244725B1"/>
    <w:rsid w:val="2449AE36"/>
    <w:rsid w:val="247D7772"/>
    <w:rsid w:val="248E2457"/>
    <w:rsid w:val="2495D45F"/>
    <w:rsid w:val="249AABC8"/>
    <w:rsid w:val="25195B8D"/>
    <w:rsid w:val="251C474E"/>
    <w:rsid w:val="2520DFC2"/>
    <w:rsid w:val="253D1741"/>
    <w:rsid w:val="25459BE7"/>
    <w:rsid w:val="254A15DA"/>
    <w:rsid w:val="25553232"/>
    <w:rsid w:val="25566C86"/>
    <w:rsid w:val="2582F806"/>
    <w:rsid w:val="25A741B2"/>
    <w:rsid w:val="25BD3328"/>
    <w:rsid w:val="25BDEF7C"/>
    <w:rsid w:val="25E3B1C0"/>
    <w:rsid w:val="25F108D5"/>
    <w:rsid w:val="2624DFA1"/>
    <w:rsid w:val="26287014"/>
    <w:rsid w:val="266AF129"/>
    <w:rsid w:val="268652B1"/>
    <w:rsid w:val="26906083"/>
    <w:rsid w:val="26AF1750"/>
    <w:rsid w:val="26CA54E3"/>
    <w:rsid w:val="26CC22F4"/>
    <w:rsid w:val="26EDFE64"/>
    <w:rsid w:val="26F0500D"/>
    <w:rsid w:val="26F6737A"/>
    <w:rsid w:val="26F764E8"/>
    <w:rsid w:val="274D752F"/>
    <w:rsid w:val="27857A83"/>
    <w:rsid w:val="2792C8AE"/>
    <w:rsid w:val="27A2ADC1"/>
    <w:rsid w:val="27E04FB4"/>
    <w:rsid w:val="2837CE85"/>
    <w:rsid w:val="2847529C"/>
    <w:rsid w:val="287E2292"/>
    <w:rsid w:val="28948199"/>
    <w:rsid w:val="28B40560"/>
    <w:rsid w:val="28C58520"/>
    <w:rsid w:val="28CA9ABF"/>
    <w:rsid w:val="28EC6CED"/>
    <w:rsid w:val="29556B9D"/>
    <w:rsid w:val="296F94F4"/>
    <w:rsid w:val="299C4AB8"/>
    <w:rsid w:val="29CD3977"/>
    <w:rsid w:val="29D55144"/>
    <w:rsid w:val="29DA164A"/>
    <w:rsid w:val="29EAAB4E"/>
    <w:rsid w:val="29EB1EE5"/>
    <w:rsid w:val="2A09BBA2"/>
    <w:rsid w:val="2A0DDA58"/>
    <w:rsid w:val="2A43829A"/>
    <w:rsid w:val="2A4FD99F"/>
    <w:rsid w:val="2A532DDC"/>
    <w:rsid w:val="2A53A37A"/>
    <w:rsid w:val="2A87DFC4"/>
    <w:rsid w:val="2A955060"/>
    <w:rsid w:val="2A9B4F73"/>
    <w:rsid w:val="2A9D851C"/>
    <w:rsid w:val="2A9F288A"/>
    <w:rsid w:val="2AAF7D4F"/>
    <w:rsid w:val="2AB7D6D0"/>
    <w:rsid w:val="2ACCC5A0"/>
    <w:rsid w:val="2AEC39F6"/>
    <w:rsid w:val="2B1578B1"/>
    <w:rsid w:val="2B1688E9"/>
    <w:rsid w:val="2B21EEFF"/>
    <w:rsid w:val="2B271927"/>
    <w:rsid w:val="2B534E03"/>
    <w:rsid w:val="2BA07CD0"/>
    <w:rsid w:val="2BAC876B"/>
    <w:rsid w:val="2C020E58"/>
    <w:rsid w:val="2C0F7402"/>
    <w:rsid w:val="2C1DA31D"/>
    <w:rsid w:val="2C39EB25"/>
    <w:rsid w:val="2C57C2DB"/>
    <w:rsid w:val="2C7E5ABF"/>
    <w:rsid w:val="2C92D542"/>
    <w:rsid w:val="2CAED03F"/>
    <w:rsid w:val="2CC6683F"/>
    <w:rsid w:val="2CCC6B99"/>
    <w:rsid w:val="2D00EA8E"/>
    <w:rsid w:val="2D240F9C"/>
    <w:rsid w:val="2D36ADC7"/>
    <w:rsid w:val="2D4A9C0B"/>
    <w:rsid w:val="2D6F7C0E"/>
    <w:rsid w:val="2D78C312"/>
    <w:rsid w:val="2D86CD9A"/>
    <w:rsid w:val="2DBE03AB"/>
    <w:rsid w:val="2DC38CB4"/>
    <w:rsid w:val="2DC8C671"/>
    <w:rsid w:val="2DC8D76B"/>
    <w:rsid w:val="2DE90F9A"/>
    <w:rsid w:val="2E1C83B3"/>
    <w:rsid w:val="2E226E1D"/>
    <w:rsid w:val="2E604D7E"/>
    <w:rsid w:val="2E6F8151"/>
    <w:rsid w:val="2E723425"/>
    <w:rsid w:val="2EA241DD"/>
    <w:rsid w:val="2EB6F928"/>
    <w:rsid w:val="2EBE9E41"/>
    <w:rsid w:val="2EC6F4AF"/>
    <w:rsid w:val="2ED70620"/>
    <w:rsid w:val="2EDD5C9A"/>
    <w:rsid w:val="2F336F6F"/>
    <w:rsid w:val="2F45B906"/>
    <w:rsid w:val="2F486536"/>
    <w:rsid w:val="2F607BDD"/>
    <w:rsid w:val="2F63F9F5"/>
    <w:rsid w:val="2F7ADD7C"/>
    <w:rsid w:val="2FA76481"/>
    <w:rsid w:val="2FE21041"/>
    <w:rsid w:val="2FE7DA07"/>
    <w:rsid w:val="2FF70F4B"/>
    <w:rsid w:val="300BCD9A"/>
    <w:rsid w:val="30AFFAD4"/>
    <w:rsid w:val="30B2FF1B"/>
    <w:rsid w:val="30F0DD3C"/>
    <w:rsid w:val="313278B8"/>
    <w:rsid w:val="313C954E"/>
    <w:rsid w:val="314BEEA2"/>
    <w:rsid w:val="31626E79"/>
    <w:rsid w:val="3167E2EB"/>
    <w:rsid w:val="31838495"/>
    <w:rsid w:val="31EC6781"/>
    <w:rsid w:val="31EF0E63"/>
    <w:rsid w:val="3206CC6D"/>
    <w:rsid w:val="3222D959"/>
    <w:rsid w:val="3239818D"/>
    <w:rsid w:val="323B20B2"/>
    <w:rsid w:val="32586291"/>
    <w:rsid w:val="32676E85"/>
    <w:rsid w:val="3269AC37"/>
    <w:rsid w:val="329D5EAB"/>
    <w:rsid w:val="32A1163A"/>
    <w:rsid w:val="32B2B0FF"/>
    <w:rsid w:val="32BC64A3"/>
    <w:rsid w:val="32E87386"/>
    <w:rsid w:val="32FDC240"/>
    <w:rsid w:val="3358FF43"/>
    <w:rsid w:val="338CC439"/>
    <w:rsid w:val="33C88DFC"/>
    <w:rsid w:val="341A07AD"/>
    <w:rsid w:val="3431EBA7"/>
    <w:rsid w:val="349B26C4"/>
    <w:rsid w:val="34E07062"/>
    <w:rsid w:val="34EE2B1A"/>
    <w:rsid w:val="358E1A24"/>
    <w:rsid w:val="35941F6C"/>
    <w:rsid w:val="35AEA810"/>
    <w:rsid w:val="35B68DBB"/>
    <w:rsid w:val="35C94333"/>
    <w:rsid w:val="36023D91"/>
    <w:rsid w:val="362439B3"/>
    <w:rsid w:val="362A79F9"/>
    <w:rsid w:val="363B119B"/>
    <w:rsid w:val="364540AA"/>
    <w:rsid w:val="365D8994"/>
    <w:rsid w:val="36E2E0A3"/>
    <w:rsid w:val="36EFCDFF"/>
    <w:rsid w:val="36F664C4"/>
    <w:rsid w:val="371B6A9C"/>
    <w:rsid w:val="373B5047"/>
    <w:rsid w:val="375B5ADE"/>
    <w:rsid w:val="378A3670"/>
    <w:rsid w:val="379E2A7C"/>
    <w:rsid w:val="37A0770F"/>
    <w:rsid w:val="37AD54A4"/>
    <w:rsid w:val="37B63B97"/>
    <w:rsid w:val="37D36F70"/>
    <w:rsid w:val="37D58178"/>
    <w:rsid w:val="37F64F6E"/>
    <w:rsid w:val="38459CF8"/>
    <w:rsid w:val="389FD5C7"/>
    <w:rsid w:val="38BA6886"/>
    <w:rsid w:val="38BD2713"/>
    <w:rsid w:val="38C8B23E"/>
    <w:rsid w:val="38CD6238"/>
    <w:rsid w:val="38DEED0B"/>
    <w:rsid w:val="392EFC58"/>
    <w:rsid w:val="393CFE1E"/>
    <w:rsid w:val="3986B91B"/>
    <w:rsid w:val="3A1FC604"/>
    <w:rsid w:val="3A34E80E"/>
    <w:rsid w:val="3A3E1A80"/>
    <w:rsid w:val="3A90271E"/>
    <w:rsid w:val="3AE29038"/>
    <w:rsid w:val="3B2CC201"/>
    <w:rsid w:val="3B2FBAA7"/>
    <w:rsid w:val="3B300707"/>
    <w:rsid w:val="3B3E6A03"/>
    <w:rsid w:val="3B56CE88"/>
    <w:rsid w:val="3B6B4280"/>
    <w:rsid w:val="3B741E09"/>
    <w:rsid w:val="3B77B2BA"/>
    <w:rsid w:val="3BAA816E"/>
    <w:rsid w:val="3BED13CC"/>
    <w:rsid w:val="3C09FC2A"/>
    <w:rsid w:val="3C237635"/>
    <w:rsid w:val="3C511ED8"/>
    <w:rsid w:val="3C5276AB"/>
    <w:rsid w:val="3C9F820B"/>
    <w:rsid w:val="3CA5999A"/>
    <w:rsid w:val="3CE6C83F"/>
    <w:rsid w:val="3CF2AABC"/>
    <w:rsid w:val="3CFB32CF"/>
    <w:rsid w:val="3D18E5A1"/>
    <w:rsid w:val="3D1AB678"/>
    <w:rsid w:val="3D32BF6D"/>
    <w:rsid w:val="3D3E9D47"/>
    <w:rsid w:val="3D4236C1"/>
    <w:rsid w:val="3D5C7562"/>
    <w:rsid w:val="3D92A746"/>
    <w:rsid w:val="3DD3CDC3"/>
    <w:rsid w:val="3DEF34BD"/>
    <w:rsid w:val="3DF47673"/>
    <w:rsid w:val="3E096318"/>
    <w:rsid w:val="3E166A55"/>
    <w:rsid w:val="3E3EC41E"/>
    <w:rsid w:val="3E5D3A66"/>
    <w:rsid w:val="3E70F0EA"/>
    <w:rsid w:val="3E9C156B"/>
    <w:rsid w:val="3E9ED103"/>
    <w:rsid w:val="3EE0B0A6"/>
    <w:rsid w:val="3F0A15AD"/>
    <w:rsid w:val="3F11AB7F"/>
    <w:rsid w:val="3F18409B"/>
    <w:rsid w:val="3F27DB42"/>
    <w:rsid w:val="3F2E7DB1"/>
    <w:rsid w:val="3F40D8E7"/>
    <w:rsid w:val="3F41589E"/>
    <w:rsid w:val="3F4E4134"/>
    <w:rsid w:val="3F76BC5A"/>
    <w:rsid w:val="3F9314B7"/>
    <w:rsid w:val="3FA44A26"/>
    <w:rsid w:val="3FA74FE5"/>
    <w:rsid w:val="3FA9C9B1"/>
    <w:rsid w:val="4022A0EF"/>
    <w:rsid w:val="407BE18A"/>
    <w:rsid w:val="4095C3CC"/>
    <w:rsid w:val="40AF4B76"/>
    <w:rsid w:val="40C60E51"/>
    <w:rsid w:val="40CB8087"/>
    <w:rsid w:val="412719D2"/>
    <w:rsid w:val="4142CE18"/>
    <w:rsid w:val="41432218"/>
    <w:rsid w:val="414E8B94"/>
    <w:rsid w:val="41503425"/>
    <w:rsid w:val="41686084"/>
    <w:rsid w:val="417AF682"/>
    <w:rsid w:val="41933F9F"/>
    <w:rsid w:val="41D17C05"/>
    <w:rsid w:val="41F39EDE"/>
    <w:rsid w:val="41FF162A"/>
    <w:rsid w:val="42276E43"/>
    <w:rsid w:val="42714307"/>
    <w:rsid w:val="4275E217"/>
    <w:rsid w:val="42763BEC"/>
    <w:rsid w:val="42D2DF2A"/>
    <w:rsid w:val="42EF1519"/>
    <w:rsid w:val="42F9E7A4"/>
    <w:rsid w:val="42FB42A9"/>
    <w:rsid w:val="431D044E"/>
    <w:rsid w:val="438ABADD"/>
    <w:rsid w:val="43A93452"/>
    <w:rsid w:val="43C26E27"/>
    <w:rsid w:val="43E5B122"/>
    <w:rsid w:val="43EFCEBD"/>
    <w:rsid w:val="43FA148F"/>
    <w:rsid w:val="43FE24FF"/>
    <w:rsid w:val="4401C36C"/>
    <w:rsid w:val="4447AC8F"/>
    <w:rsid w:val="4467B78E"/>
    <w:rsid w:val="446C2641"/>
    <w:rsid w:val="446EC77A"/>
    <w:rsid w:val="44953019"/>
    <w:rsid w:val="44B88A05"/>
    <w:rsid w:val="44D00926"/>
    <w:rsid w:val="44F0D325"/>
    <w:rsid w:val="44FE1531"/>
    <w:rsid w:val="4508F1AE"/>
    <w:rsid w:val="452F4FA4"/>
    <w:rsid w:val="4543266F"/>
    <w:rsid w:val="4554380B"/>
    <w:rsid w:val="456857FE"/>
    <w:rsid w:val="45C2A86E"/>
    <w:rsid w:val="45C8F5E0"/>
    <w:rsid w:val="45E78CA8"/>
    <w:rsid w:val="45FBCE14"/>
    <w:rsid w:val="46796F16"/>
    <w:rsid w:val="4688956C"/>
    <w:rsid w:val="46A1FEC0"/>
    <w:rsid w:val="46A30428"/>
    <w:rsid w:val="46DCD77E"/>
    <w:rsid w:val="46F85236"/>
    <w:rsid w:val="46FBE058"/>
    <w:rsid w:val="471055D9"/>
    <w:rsid w:val="4722E2D7"/>
    <w:rsid w:val="4753DB1A"/>
    <w:rsid w:val="4761BD70"/>
    <w:rsid w:val="4766359D"/>
    <w:rsid w:val="4767AE23"/>
    <w:rsid w:val="477C5463"/>
    <w:rsid w:val="4799562B"/>
    <w:rsid w:val="479E3E06"/>
    <w:rsid w:val="47C10D4B"/>
    <w:rsid w:val="47C4C2EA"/>
    <w:rsid w:val="47CFFF50"/>
    <w:rsid w:val="47D80030"/>
    <w:rsid w:val="486DD657"/>
    <w:rsid w:val="48A521D9"/>
    <w:rsid w:val="48A5DB06"/>
    <w:rsid w:val="48B0A8AD"/>
    <w:rsid w:val="48C74A7D"/>
    <w:rsid w:val="48CFCA31"/>
    <w:rsid w:val="48DAF489"/>
    <w:rsid w:val="48DBE7C4"/>
    <w:rsid w:val="48F303A1"/>
    <w:rsid w:val="494F055E"/>
    <w:rsid w:val="498AAFD7"/>
    <w:rsid w:val="49D5A183"/>
    <w:rsid w:val="49D83EA6"/>
    <w:rsid w:val="49DCC424"/>
    <w:rsid w:val="49E3B5C5"/>
    <w:rsid w:val="49F02E19"/>
    <w:rsid w:val="4A3C311F"/>
    <w:rsid w:val="4A714E45"/>
    <w:rsid w:val="4A9BE396"/>
    <w:rsid w:val="4AA1CFE7"/>
    <w:rsid w:val="4AC91FCA"/>
    <w:rsid w:val="4AFF31CF"/>
    <w:rsid w:val="4B1A8DAC"/>
    <w:rsid w:val="4B3233AE"/>
    <w:rsid w:val="4B373174"/>
    <w:rsid w:val="4B455B00"/>
    <w:rsid w:val="4BCAEE7A"/>
    <w:rsid w:val="4BEC9898"/>
    <w:rsid w:val="4BFA93BA"/>
    <w:rsid w:val="4C2529B9"/>
    <w:rsid w:val="4C56237D"/>
    <w:rsid w:val="4C6002F6"/>
    <w:rsid w:val="4C88F05A"/>
    <w:rsid w:val="4CB4B2B0"/>
    <w:rsid w:val="4D3E8549"/>
    <w:rsid w:val="4D4DDA63"/>
    <w:rsid w:val="4D6A7CE5"/>
    <w:rsid w:val="4DB4C066"/>
    <w:rsid w:val="4DC2C33B"/>
    <w:rsid w:val="4DF1FF9D"/>
    <w:rsid w:val="4DF5B0FB"/>
    <w:rsid w:val="4E0665BE"/>
    <w:rsid w:val="4E6286DC"/>
    <w:rsid w:val="4E9815FF"/>
    <w:rsid w:val="4EB0113C"/>
    <w:rsid w:val="4EB1D143"/>
    <w:rsid w:val="4EC84ADA"/>
    <w:rsid w:val="4EECB251"/>
    <w:rsid w:val="4F14A9B7"/>
    <w:rsid w:val="4F29F9B2"/>
    <w:rsid w:val="4F5BB6F5"/>
    <w:rsid w:val="4F5C6DF5"/>
    <w:rsid w:val="4F5DEFF1"/>
    <w:rsid w:val="4F709AFF"/>
    <w:rsid w:val="4F75622D"/>
    <w:rsid w:val="4FA15130"/>
    <w:rsid w:val="5027ADC1"/>
    <w:rsid w:val="5035BB69"/>
    <w:rsid w:val="50360E21"/>
    <w:rsid w:val="505BF907"/>
    <w:rsid w:val="505FE274"/>
    <w:rsid w:val="508BAA08"/>
    <w:rsid w:val="508D9A65"/>
    <w:rsid w:val="50906AA8"/>
    <w:rsid w:val="509369D7"/>
    <w:rsid w:val="5095EDBC"/>
    <w:rsid w:val="509EE9EF"/>
    <w:rsid w:val="50C6F6B5"/>
    <w:rsid w:val="50D9E41E"/>
    <w:rsid w:val="5112995D"/>
    <w:rsid w:val="51293EBF"/>
    <w:rsid w:val="51530509"/>
    <w:rsid w:val="515F40F3"/>
    <w:rsid w:val="51A68959"/>
    <w:rsid w:val="51AB7ED4"/>
    <w:rsid w:val="51CBC744"/>
    <w:rsid w:val="5202B85F"/>
    <w:rsid w:val="5204FAC9"/>
    <w:rsid w:val="5222395A"/>
    <w:rsid w:val="52460B01"/>
    <w:rsid w:val="528099CD"/>
    <w:rsid w:val="528A7362"/>
    <w:rsid w:val="531686D1"/>
    <w:rsid w:val="53358555"/>
    <w:rsid w:val="53396123"/>
    <w:rsid w:val="53450728"/>
    <w:rsid w:val="534EE41E"/>
    <w:rsid w:val="538C5D38"/>
    <w:rsid w:val="53BBB8CF"/>
    <w:rsid w:val="53CE78B1"/>
    <w:rsid w:val="53D4B38F"/>
    <w:rsid w:val="54004D6C"/>
    <w:rsid w:val="542D405F"/>
    <w:rsid w:val="542D6146"/>
    <w:rsid w:val="543EB438"/>
    <w:rsid w:val="5461DD39"/>
    <w:rsid w:val="54BD46DC"/>
    <w:rsid w:val="54C283E0"/>
    <w:rsid w:val="54DFE307"/>
    <w:rsid w:val="54DFE486"/>
    <w:rsid w:val="54EA6F60"/>
    <w:rsid w:val="54F1BA58"/>
    <w:rsid w:val="54FA7597"/>
    <w:rsid w:val="54FE2C87"/>
    <w:rsid w:val="5521D567"/>
    <w:rsid w:val="558A4CD7"/>
    <w:rsid w:val="55B808C4"/>
    <w:rsid w:val="55BC5C13"/>
    <w:rsid w:val="55C4AF1F"/>
    <w:rsid w:val="55CA3CCA"/>
    <w:rsid w:val="56145554"/>
    <w:rsid w:val="5616EAD9"/>
    <w:rsid w:val="5618995D"/>
    <w:rsid w:val="561AB6F1"/>
    <w:rsid w:val="561C8295"/>
    <w:rsid w:val="561CD3D5"/>
    <w:rsid w:val="562DD803"/>
    <w:rsid w:val="563C9412"/>
    <w:rsid w:val="569D5AF8"/>
    <w:rsid w:val="56A6E3A1"/>
    <w:rsid w:val="56A8B1CF"/>
    <w:rsid w:val="56CF5BE1"/>
    <w:rsid w:val="56E93E00"/>
    <w:rsid w:val="56F2336E"/>
    <w:rsid w:val="56FA6AF8"/>
    <w:rsid w:val="571C878F"/>
    <w:rsid w:val="57491E20"/>
    <w:rsid w:val="575F5D99"/>
    <w:rsid w:val="5765C7C9"/>
    <w:rsid w:val="57F3DD7C"/>
    <w:rsid w:val="58388870"/>
    <w:rsid w:val="58B722E1"/>
    <w:rsid w:val="58C05825"/>
    <w:rsid w:val="58CCFB80"/>
    <w:rsid w:val="58D8C314"/>
    <w:rsid w:val="58EA86B9"/>
    <w:rsid w:val="58F6C935"/>
    <w:rsid w:val="58FFD261"/>
    <w:rsid w:val="599EF9FE"/>
    <w:rsid w:val="59C478DB"/>
    <w:rsid w:val="5A42F224"/>
    <w:rsid w:val="5A4AAA46"/>
    <w:rsid w:val="5A6FCC11"/>
    <w:rsid w:val="5A780A6A"/>
    <w:rsid w:val="5A89AFE1"/>
    <w:rsid w:val="5A98B930"/>
    <w:rsid w:val="5AAD0C55"/>
    <w:rsid w:val="5ABE4ECC"/>
    <w:rsid w:val="5ACAB0F0"/>
    <w:rsid w:val="5ACBBBEA"/>
    <w:rsid w:val="5B04CA6A"/>
    <w:rsid w:val="5B1567CE"/>
    <w:rsid w:val="5B1C0F52"/>
    <w:rsid w:val="5B228DF8"/>
    <w:rsid w:val="5B324891"/>
    <w:rsid w:val="5B41C30A"/>
    <w:rsid w:val="5B423B4A"/>
    <w:rsid w:val="5B5F9070"/>
    <w:rsid w:val="5B611F7E"/>
    <w:rsid w:val="5B6465A3"/>
    <w:rsid w:val="5B849154"/>
    <w:rsid w:val="5B9B4CDC"/>
    <w:rsid w:val="5BB1214F"/>
    <w:rsid w:val="5BC812B1"/>
    <w:rsid w:val="5C033178"/>
    <w:rsid w:val="5C076D51"/>
    <w:rsid w:val="5C3E9211"/>
    <w:rsid w:val="5C4BFB6A"/>
    <w:rsid w:val="5C5AA04A"/>
    <w:rsid w:val="5C88A621"/>
    <w:rsid w:val="5C9C629C"/>
    <w:rsid w:val="5CBA10EF"/>
    <w:rsid w:val="5D0CA751"/>
    <w:rsid w:val="5D0DB45A"/>
    <w:rsid w:val="5D4187BC"/>
    <w:rsid w:val="5D9801D2"/>
    <w:rsid w:val="5DC4FCEC"/>
    <w:rsid w:val="5DD066CB"/>
    <w:rsid w:val="5E06A1E0"/>
    <w:rsid w:val="5E08A297"/>
    <w:rsid w:val="5E0C2064"/>
    <w:rsid w:val="5E1D1D83"/>
    <w:rsid w:val="5E238E9E"/>
    <w:rsid w:val="5E3823BA"/>
    <w:rsid w:val="5E3D661F"/>
    <w:rsid w:val="5E8951CB"/>
    <w:rsid w:val="5EB64A3F"/>
    <w:rsid w:val="5EC98F72"/>
    <w:rsid w:val="5ECEC65E"/>
    <w:rsid w:val="5ED8A975"/>
    <w:rsid w:val="5EDB8838"/>
    <w:rsid w:val="5EDCC988"/>
    <w:rsid w:val="5EF355D9"/>
    <w:rsid w:val="5F109E2E"/>
    <w:rsid w:val="5F159323"/>
    <w:rsid w:val="5F21446D"/>
    <w:rsid w:val="5F4CE555"/>
    <w:rsid w:val="5F568625"/>
    <w:rsid w:val="5F66E6A8"/>
    <w:rsid w:val="5F9A1CAF"/>
    <w:rsid w:val="5FB16F1A"/>
    <w:rsid w:val="5FBDED7C"/>
    <w:rsid w:val="5FC6FADC"/>
    <w:rsid w:val="5FE89BAC"/>
    <w:rsid w:val="60A7B291"/>
    <w:rsid w:val="60B3D60F"/>
    <w:rsid w:val="60FE6BDF"/>
    <w:rsid w:val="611572EC"/>
    <w:rsid w:val="611CCADD"/>
    <w:rsid w:val="61224421"/>
    <w:rsid w:val="6147A087"/>
    <w:rsid w:val="615840F3"/>
    <w:rsid w:val="6175EEBD"/>
    <w:rsid w:val="617922A1"/>
    <w:rsid w:val="6193D17B"/>
    <w:rsid w:val="61C879D6"/>
    <w:rsid w:val="61D70AA9"/>
    <w:rsid w:val="61E321AD"/>
    <w:rsid w:val="6201A3E1"/>
    <w:rsid w:val="621F7AA7"/>
    <w:rsid w:val="625BDBCA"/>
    <w:rsid w:val="6296C353"/>
    <w:rsid w:val="62CB45ED"/>
    <w:rsid w:val="62F2577B"/>
    <w:rsid w:val="63875009"/>
    <w:rsid w:val="63CD5859"/>
    <w:rsid w:val="64020E2F"/>
    <w:rsid w:val="6432845C"/>
    <w:rsid w:val="643304BE"/>
    <w:rsid w:val="643991C8"/>
    <w:rsid w:val="646DC1FE"/>
    <w:rsid w:val="64A11A54"/>
    <w:rsid w:val="64AB88CC"/>
    <w:rsid w:val="64B62386"/>
    <w:rsid w:val="64C3E309"/>
    <w:rsid w:val="64D8D02A"/>
    <w:rsid w:val="64F17D70"/>
    <w:rsid w:val="6502FD89"/>
    <w:rsid w:val="652624FD"/>
    <w:rsid w:val="653EB1B2"/>
    <w:rsid w:val="6564E1EE"/>
    <w:rsid w:val="657A68B8"/>
    <w:rsid w:val="657AC354"/>
    <w:rsid w:val="657B23BC"/>
    <w:rsid w:val="65A008A9"/>
    <w:rsid w:val="65EC01D2"/>
    <w:rsid w:val="65FFF467"/>
    <w:rsid w:val="66343722"/>
    <w:rsid w:val="66361E1E"/>
    <w:rsid w:val="663AB956"/>
    <w:rsid w:val="664F9319"/>
    <w:rsid w:val="6652FFA9"/>
    <w:rsid w:val="665C81C4"/>
    <w:rsid w:val="666FB9CD"/>
    <w:rsid w:val="66AAF366"/>
    <w:rsid w:val="66C865F3"/>
    <w:rsid w:val="66CF62C2"/>
    <w:rsid w:val="66FF6A9F"/>
    <w:rsid w:val="6724CD1C"/>
    <w:rsid w:val="67445BCE"/>
    <w:rsid w:val="676FA522"/>
    <w:rsid w:val="679A71DB"/>
    <w:rsid w:val="680478DA"/>
    <w:rsid w:val="6823913B"/>
    <w:rsid w:val="684F3CB0"/>
    <w:rsid w:val="68516057"/>
    <w:rsid w:val="68745CCB"/>
    <w:rsid w:val="6898CCCC"/>
    <w:rsid w:val="689C6475"/>
    <w:rsid w:val="68A7C001"/>
    <w:rsid w:val="68AFBA28"/>
    <w:rsid w:val="68C05AE0"/>
    <w:rsid w:val="68C1E065"/>
    <w:rsid w:val="68CD383F"/>
    <w:rsid w:val="68ED6CBA"/>
    <w:rsid w:val="68F3941F"/>
    <w:rsid w:val="6952D848"/>
    <w:rsid w:val="6955E8EF"/>
    <w:rsid w:val="69727CE7"/>
    <w:rsid w:val="69754958"/>
    <w:rsid w:val="6978C7E6"/>
    <w:rsid w:val="69819684"/>
    <w:rsid w:val="6995E7F3"/>
    <w:rsid w:val="699828C8"/>
    <w:rsid w:val="69B9FD8C"/>
    <w:rsid w:val="69DA995C"/>
    <w:rsid w:val="69DF1CB9"/>
    <w:rsid w:val="69DF9868"/>
    <w:rsid w:val="69E909F4"/>
    <w:rsid w:val="6A08F1F3"/>
    <w:rsid w:val="6A0A1EA3"/>
    <w:rsid w:val="6A0D2273"/>
    <w:rsid w:val="6A1AD9FB"/>
    <w:rsid w:val="6A528E74"/>
    <w:rsid w:val="6A55CBDC"/>
    <w:rsid w:val="6A8BD8B2"/>
    <w:rsid w:val="6A9BEA4D"/>
    <w:rsid w:val="6A9ED2D6"/>
    <w:rsid w:val="6AA2B5D6"/>
    <w:rsid w:val="6AB98E07"/>
    <w:rsid w:val="6AD834B5"/>
    <w:rsid w:val="6B1888CF"/>
    <w:rsid w:val="6B63DE6C"/>
    <w:rsid w:val="6B8F035A"/>
    <w:rsid w:val="6BC8A553"/>
    <w:rsid w:val="6BE37B39"/>
    <w:rsid w:val="6C5A2016"/>
    <w:rsid w:val="6CB07ACF"/>
    <w:rsid w:val="6CF93446"/>
    <w:rsid w:val="6D183475"/>
    <w:rsid w:val="6D40A509"/>
    <w:rsid w:val="6D47B377"/>
    <w:rsid w:val="6D56A38B"/>
    <w:rsid w:val="6D7E2FEA"/>
    <w:rsid w:val="6D8F61C4"/>
    <w:rsid w:val="6DA02567"/>
    <w:rsid w:val="6DCEF3FC"/>
    <w:rsid w:val="6DE83C16"/>
    <w:rsid w:val="6E088348"/>
    <w:rsid w:val="6E1F7087"/>
    <w:rsid w:val="6E2A38BF"/>
    <w:rsid w:val="6E522DB3"/>
    <w:rsid w:val="6E57EBF4"/>
    <w:rsid w:val="6E8FCD10"/>
    <w:rsid w:val="6EAD9440"/>
    <w:rsid w:val="6EC1FA94"/>
    <w:rsid w:val="6EE0C08F"/>
    <w:rsid w:val="6F11254B"/>
    <w:rsid w:val="6F12841E"/>
    <w:rsid w:val="6F2E46D4"/>
    <w:rsid w:val="6F48C0D7"/>
    <w:rsid w:val="6FCA3731"/>
    <w:rsid w:val="700A239D"/>
    <w:rsid w:val="70139549"/>
    <w:rsid w:val="7035D150"/>
    <w:rsid w:val="70428465"/>
    <w:rsid w:val="70576B0E"/>
    <w:rsid w:val="708CDD19"/>
    <w:rsid w:val="70B73EE9"/>
    <w:rsid w:val="70BD7E4A"/>
    <w:rsid w:val="70BE00AF"/>
    <w:rsid w:val="70D0D838"/>
    <w:rsid w:val="70F4D99D"/>
    <w:rsid w:val="70F8C113"/>
    <w:rsid w:val="70F98908"/>
    <w:rsid w:val="711BC851"/>
    <w:rsid w:val="714265F2"/>
    <w:rsid w:val="715AEB59"/>
    <w:rsid w:val="71861A56"/>
    <w:rsid w:val="719B2B1A"/>
    <w:rsid w:val="71B16DE9"/>
    <w:rsid w:val="72269B5E"/>
    <w:rsid w:val="725B831B"/>
    <w:rsid w:val="726F3853"/>
    <w:rsid w:val="729B6C39"/>
    <w:rsid w:val="729C7FDC"/>
    <w:rsid w:val="72B72F9B"/>
    <w:rsid w:val="72B7DFD7"/>
    <w:rsid w:val="72E83455"/>
    <w:rsid w:val="730C245A"/>
    <w:rsid w:val="732356B3"/>
    <w:rsid w:val="7323BD66"/>
    <w:rsid w:val="73279585"/>
    <w:rsid w:val="73376B14"/>
    <w:rsid w:val="73386735"/>
    <w:rsid w:val="7372A1D1"/>
    <w:rsid w:val="73BED462"/>
    <w:rsid w:val="742091D2"/>
    <w:rsid w:val="74277D74"/>
    <w:rsid w:val="74313F8C"/>
    <w:rsid w:val="744B2F65"/>
    <w:rsid w:val="7453158A"/>
    <w:rsid w:val="74694B51"/>
    <w:rsid w:val="746BAA2F"/>
    <w:rsid w:val="749AC18D"/>
    <w:rsid w:val="74AF1C64"/>
    <w:rsid w:val="750B8EC3"/>
    <w:rsid w:val="750E1CD2"/>
    <w:rsid w:val="7510D84B"/>
    <w:rsid w:val="7549CE31"/>
    <w:rsid w:val="754CE54F"/>
    <w:rsid w:val="759DC634"/>
    <w:rsid w:val="75A84D84"/>
    <w:rsid w:val="75C9D908"/>
    <w:rsid w:val="75CD9A68"/>
    <w:rsid w:val="75F225D1"/>
    <w:rsid w:val="761BBF8D"/>
    <w:rsid w:val="76479E57"/>
    <w:rsid w:val="766CA483"/>
    <w:rsid w:val="7671D668"/>
    <w:rsid w:val="76849586"/>
    <w:rsid w:val="76C65E46"/>
    <w:rsid w:val="76CB4FBA"/>
    <w:rsid w:val="76CDAF0E"/>
    <w:rsid w:val="76DC1FDC"/>
    <w:rsid w:val="77054C98"/>
    <w:rsid w:val="7723113F"/>
    <w:rsid w:val="772A2AAE"/>
    <w:rsid w:val="77633E4F"/>
    <w:rsid w:val="77640473"/>
    <w:rsid w:val="7787C24F"/>
    <w:rsid w:val="77D26709"/>
    <w:rsid w:val="77DD32EB"/>
    <w:rsid w:val="77E54631"/>
    <w:rsid w:val="77EF387B"/>
    <w:rsid w:val="78007B4E"/>
    <w:rsid w:val="7837EDEF"/>
    <w:rsid w:val="786DD085"/>
    <w:rsid w:val="787C64D0"/>
    <w:rsid w:val="789D3FA4"/>
    <w:rsid w:val="78AA5163"/>
    <w:rsid w:val="78B2D899"/>
    <w:rsid w:val="78C7DECA"/>
    <w:rsid w:val="78FB1E74"/>
    <w:rsid w:val="793341B0"/>
    <w:rsid w:val="793AAF34"/>
    <w:rsid w:val="79A43B5A"/>
    <w:rsid w:val="79B0BDA4"/>
    <w:rsid w:val="79CFC2EC"/>
    <w:rsid w:val="79DAE250"/>
    <w:rsid w:val="79DCAB18"/>
    <w:rsid w:val="79F863DD"/>
    <w:rsid w:val="79FBEDD4"/>
    <w:rsid w:val="7A3F943E"/>
    <w:rsid w:val="7A5F8945"/>
    <w:rsid w:val="7AA17DC5"/>
    <w:rsid w:val="7AD133D1"/>
    <w:rsid w:val="7AE332FC"/>
    <w:rsid w:val="7AEE2F38"/>
    <w:rsid w:val="7B3056EB"/>
    <w:rsid w:val="7BD95B68"/>
    <w:rsid w:val="7C1F241C"/>
    <w:rsid w:val="7C7BDC58"/>
    <w:rsid w:val="7C87E30E"/>
    <w:rsid w:val="7C933488"/>
    <w:rsid w:val="7CD18D9F"/>
    <w:rsid w:val="7D2632B1"/>
    <w:rsid w:val="7D7137FC"/>
    <w:rsid w:val="7D818F13"/>
    <w:rsid w:val="7DAF864B"/>
    <w:rsid w:val="7DCE4EF9"/>
    <w:rsid w:val="7DDB67A8"/>
    <w:rsid w:val="7DDDB400"/>
    <w:rsid w:val="7E16F131"/>
    <w:rsid w:val="7E1968C3"/>
    <w:rsid w:val="7E28592F"/>
    <w:rsid w:val="7E29316F"/>
    <w:rsid w:val="7E29BDED"/>
    <w:rsid w:val="7E2E0B58"/>
    <w:rsid w:val="7E54237A"/>
    <w:rsid w:val="7EAEA05A"/>
    <w:rsid w:val="7ECBFADC"/>
    <w:rsid w:val="7F0155CA"/>
    <w:rsid w:val="7F04BC50"/>
    <w:rsid w:val="7F0BCE0C"/>
    <w:rsid w:val="7F223948"/>
    <w:rsid w:val="7F27855B"/>
    <w:rsid w:val="7F4D5374"/>
    <w:rsid w:val="7F52C769"/>
    <w:rsid w:val="7F77FE8B"/>
    <w:rsid w:val="7F7979A8"/>
    <w:rsid w:val="7FB23786"/>
    <w:rsid w:val="7FC4CFC1"/>
    <w:rsid w:val="7FD26642"/>
    <w:rsid w:val="7FD88E7F"/>
    <w:rsid w:val="7FEBBA60"/>
    <w:rsid w:val="7FF5587B"/>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C88DDD"/>
  <w15:docId w15:val="{C1122718-C907-491D-8A3F-58113E3F7D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6A59"/>
    <w:rPr>
      <w:rFonts w:ascii="Arial" w:eastAsia="Arial" w:hAnsi="Arial" w:cs="Arial"/>
    </w:rPr>
  </w:style>
  <w:style w:type="paragraph" w:styleId="Heading1">
    <w:name w:val="heading 1"/>
    <w:basedOn w:val="Normal"/>
    <w:uiPriority w:val="9"/>
    <w:qFormat/>
    <w:rsid w:val="00BD6CAD"/>
    <w:pPr>
      <w:spacing w:before="360" w:after="120"/>
      <w:outlineLvl w:val="0"/>
    </w:pPr>
    <w:rPr>
      <w:sz w:val="40"/>
      <w:szCs w:val="40"/>
    </w:rPr>
  </w:style>
  <w:style w:type="paragraph" w:styleId="Heading2">
    <w:name w:val="heading 2"/>
    <w:basedOn w:val="Normal"/>
    <w:uiPriority w:val="9"/>
    <w:unhideWhenUsed/>
    <w:qFormat/>
    <w:rsid w:val="002602C5"/>
    <w:pPr>
      <w:ind w:left="97"/>
      <w:outlineLvl w:val="1"/>
    </w:pPr>
    <w:rPr>
      <w:b/>
      <w:bCs/>
      <w:sz w:val="28"/>
      <w:szCs w:val="24"/>
    </w:rPr>
  </w:style>
  <w:style w:type="paragraph" w:styleId="Heading3">
    <w:name w:val="heading 3"/>
    <w:basedOn w:val="Normal"/>
    <w:uiPriority w:val="9"/>
    <w:unhideWhenUsed/>
    <w:qFormat/>
    <w:pPr>
      <w:spacing w:before="2"/>
      <w:ind w:left="97"/>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360"/>
    </w:pPr>
    <w:rPr>
      <w:rFonts w:asciiTheme="majorHAnsi" w:hAnsiTheme="majorHAnsi"/>
      <w:b/>
      <w:bCs/>
      <w:caps/>
      <w:sz w:val="24"/>
      <w:szCs w:val="24"/>
    </w:rPr>
  </w:style>
  <w:style w:type="paragraph" w:styleId="TOC2">
    <w:name w:val="toc 2"/>
    <w:basedOn w:val="Normal"/>
    <w:uiPriority w:val="39"/>
    <w:qFormat/>
    <w:pPr>
      <w:spacing w:before="240"/>
    </w:pPr>
    <w:rPr>
      <w:rFonts w:asciiTheme="minorHAnsi" w:hAnsiTheme="minorHAnsi" w:cstheme="minorHAnsi"/>
      <w:b/>
      <w:bCs/>
      <w:sz w:val="20"/>
      <w:szCs w:val="20"/>
    </w:rPr>
  </w:style>
  <w:style w:type="paragraph" w:styleId="BodyText">
    <w:name w:val="Body Text"/>
    <w:basedOn w:val="Normal"/>
    <w:uiPriority w:val="1"/>
    <w:qFormat/>
  </w:style>
  <w:style w:type="paragraph" w:styleId="Title">
    <w:name w:val="Title"/>
    <w:basedOn w:val="Normal"/>
    <w:uiPriority w:val="10"/>
    <w:qFormat/>
    <w:pPr>
      <w:ind w:left="97"/>
    </w:pPr>
    <w:rPr>
      <w:b/>
      <w:bCs/>
      <w:sz w:val="96"/>
      <w:szCs w:val="96"/>
    </w:rPr>
  </w:style>
  <w:style w:type="paragraph" w:styleId="ListParagraph">
    <w:name w:val="List Paragraph"/>
    <w:basedOn w:val="Normal"/>
    <w:qFormat/>
    <w:pPr>
      <w:ind w:left="457" w:hanging="361"/>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FE0137"/>
    <w:pPr>
      <w:tabs>
        <w:tab w:val="center" w:pos="4513"/>
        <w:tab w:val="right" w:pos="9026"/>
      </w:tabs>
    </w:pPr>
  </w:style>
  <w:style w:type="character" w:customStyle="1" w:styleId="HeaderChar">
    <w:name w:val="Header Char"/>
    <w:basedOn w:val="DefaultParagraphFont"/>
    <w:link w:val="Header"/>
    <w:uiPriority w:val="99"/>
    <w:rsid w:val="00FE0137"/>
    <w:rPr>
      <w:rFonts w:ascii="Arial" w:eastAsia="Arial" w:hAnsi="Arial" w:cs="Arial"/>
    </w:rPr>
  </w:style>
  <w:style w:type="paragraph" w:styleId="Footer">
    <w:name w:val="footer"/>
    <w:basedOn w:val="Normal"/>
    <w:link w:val="FooterChar"/>
    <w:uiPriority w:val="99"/>
    <w:unhideWhenUsed/>
    <w:rsid w:val="00FE0137"/>
    <w:pPr>
      <w:tabs>
        <w:tab w:val="center" w:pos="4513"/>
        <w:tab w:val="right" w:pos="9026"/>
      </w:tabs>
    </w:pPr>
  </w:style>
  <w:style w:type="character" w:customStyle="1" w:styleId="FooterChar">
    <w:name w:val="Footer Char"/>
    <w:basedOn w:val="DefaultParagraphFont"/>
    <w:link w:val="Footer"/>
    <w:uiPriority w:val="99"/>
    <w:rsid w:val="00FE0137"/>
    <w:rPr>
      <w:rFonts w:ascii="Arial" w:eastAsia="Arial" w:hAnsi="Arial" w:cs="Arial"/>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CommentText">
    <w:name w:val="annotation text"/>
    <w:basedOn w:val="Normal"/>
    <w:link w:val="CommentTextChar"/>
    <w:uiPriority w:val="99"/>
    <w:semiHidden/>
    <w:unhideWhenUsed/>
    <w:rsid w:val="001B298A"/>
    <w:rPr>
      <w:sz w:val="20"/>
      <w:szCs w:val="20"/>
    </w:rPr>
  </w:style>
  <w:style w:type="character" w:customStyle="1" w:styleId="CommentTextChar">
    <w:name w:val="Comment Text Char"/>
    <w:basedOn w:val="DefaultParagraphFont"/>
    <w:link w:val="CommentText"/>
    <w:uiPriority w:val="99"/>
    <w:semiHidden/>
    <w:rsid w:val="001B298A"/>
    <w:rPr>
      <w:rFonts w:ascii="Arial" w:eastAsia="Arial" w:hAnsi="Arial" w:cs="Arial"/>
      <w:sz w:val="20"/>
      <w:szCs w:val="20"/>
    </w:rPr>
  </w:style>
  <w:style w:type="character" w:styleId="CommentReference">
    <w:name w:val="annotation reference"/>
    <w:basedOn w:val="DefaultParagraphFont"/>
    <w:uiPriority w:val="99"/>
    <w:semiHidden/>
    <w:unhideWhenUsed/>
    <w:rsid w:val="001B298A"/>
    <w:rPr>
      <w:sz w:val="16"/>
      <w:szCs w:val="16"/>
    </w:rPr>
  </w:style>
  <w:style w:type="paragraph" w:styleId="FootnoteText">
    <w:name w:val="footnote text"/>
    <w:basedOn w:val="Normal"/>
    <w:link w:val="FootnoteTextChar"/>
    <w:uiPriority w:val="99"/>
    <w:semiHidden/>
    <w:unhideWhenUsed/>
    <w:rsid w:val="00125CCA"/>
    <w:rPr>
      <w:sz w:val="20"/>
      <w:szCs w:val="20"/>
    </w:rPr>
  </w:style>
  <w:style w:type="character" w:customStyle="1" w:styleId="FootnoteTextChar">
    <w:name w:val="Footnote Text Char"/>
    <w:basedOn w:val="DefaultParagraphFont"/>
    <w:link w:val="FootnoteText"/>
    <w:uiPriority w:val="99"/>
    <w:semiHidden/>
    <w:rsid w:val="00125CCA"/>
    <w:rPr>
      <w:rFonts w:ascii="Arial" w:eastAsia="Arial" w:hAnsi="Arial" w:cs="Arial"/>
      <w:sz w:val="20"/>
      <w:szCs w:val="20"/>
    </w:rPr>
  </w:style>
  <w:style w:type="character" w:styleId="FootnoteReference">
    <w:name w:val="footnote reference"/>
    <w:basedOn w:val="DefaultParagraphFont"/>
    <w:uiPriority w:val="99"/>
    <w:semiHidden/>
    <w:unhideWhenUsed/>
    <w:rsid w:val="00601ADE"/>
    <w:rPr>
      <w:vertAlign w:val="superscript"/>
    </w:rPr>
  </w:style>
  <w:style w:type="character" w:styleId="Hyperlink">
    <w:name w:val="Hyperlink"/>
    <w:basedOn w:val="DefaultParagraphFont"/>
    <w:uiPriority w:val="99"/>
    <w:unhideWhenUsed/>
    <w:rsid w:val="00601ADE"/>
    <w:rPr>
      <w:color w:val="0000FF"/>
      <w:u w:val="single"/>
    </w:rPr>
  </w:style>
  <w:style w:type="character" w:styleId="Emphasis">
    <w:name w:val="Emphasis"/>
    <w:basedOn w:val="DefaultParagraphFont"/>
    <w:uiPriority w:val="20"/>
    <w:qFormat/>
    <w:rsid w:val="00DF7AFC"/>
    <w:rPr>
      <w:i/>
      <w:iCs/>
    </w:rPr>
  </w:style>
  <w:style w:type="character" w:styleId="UnresolvedMention">
    <w:name w:val="Unresolved Mention"/>
    <w:basedOn w:val="DefaultParagraphFont"/>
    <w:uiPriority w:val="99"/>
    <w:semiHidden/>
    <w:unhideWhenUsed/>
    <w:rsid w:val="00311CFE"/>
    <w:rPr>
      <w:color w:val="605E5C"/>
      <w:shd w:val="clear" w:color="auto" w:fill="E1DFDD"/>
    </w:rPr>
  </w:style>
  <w:style w:type="character" w:styleId="EndnoteReference">
    <w:name w:val="endnote reference"/>
    <w:basedOn w:val="DefaultParagraphFont"/>
    <w:uiPriority w:val="99"/>
    <w:semiHidden/>
    <w:unhideWhenUsed/>
    <w:rsid w:val="00DE7A51"/>
    <w:rPr>
      <w:vertAlign w:val="superscript"/>
    </w:rPr>
  </w:style>
  <w:style w:type="paragraph" w:styleId="Revision">
    <w:name w:val="Revision"/>
    <w:hidden/>
    <w:uiPriority w:val="99"/>
    <w:semiHidden/>
    <w:rsid w:val="00C62684"/>
    <w:pPr>
      <w:widowControl/>
      <w:autoSpaceDE/>
      <w:autoSpaceDN/>
    </w:pPr>
    <w:rPr>
      <w:rFonts w:ascii="Arial" w:eastAsia="Arial" w:hAnsi="Arial" w:cs="Arial"/>
    </w:rPr>
  </w:style>
  <w:style w:type="paragraph" w:styleId="CommentSubject">
    <w:name w:val="annotation subject"/>
    <w:basedOn w:val="CommentText"/>
    <w:next w:val="CommentText"/>
    <w:link w:val="CommentSubjectChar"/>
    <w:uiPriority w:val="99"/>
    <w:semiHidden/>
    <w:unhideWhenUsed/>
    <w:rsid w:val="0086614F"/>
    <w:rPr>
      <w:b/>
      <w:bCs/>
    </w:rPr>
  </w:style>
  <w:style w:type="character" w:customStyle="1" w:styleId="CommentSubjectChar">
    <w:name w:val="Comment Subject Char"/>
    <w:basedOn w:val="CommentTextChar"/>
    <w:link w:val="CommentSubject"/>
    <w:uiPriority w:val="99"/>
    <w:semiHidden/>
    <w:rsid w:val="0086614F"/>
    <w:rPr>
      <w:rFonts w:ascii="Arial" w:eastAsia="Arial" w:hAnsi="Arial" w:cs="Arial"/>
      <w:b/>
      <w:bCs/>
      <w:sz w:val="20"/>
      <w:szCs w:val="20"/>
    </w:rPr>
  </w:style>
  <w:style w:type="paragraph" w:styleId="NormalWeb">
    <w:name w:val="Normal (Web)"/>
    <w:basedOn w:val="Normal"/>
    <w:uiPriority w:val="99"/>
    <w:unhideWhenUsed/>
    <w:rsid w:val="0086614F"/>
    <w:pPr>
      <w:widowControl/>
      <w:autoSpaceDE/>
      <w:autoSpaceDN/>
      <w:spacing w:before="100" w:beforeAutospacing="1" w:after="100" w:afterAutospacing="1"/>
    </w:pPr>
    <w:rPr>
      <w:rFonts w:ascii="Times New Roman" w:eastAsia="Times New Roman" w:hAnsi="Times New Roman" w:cs="Times New Roman"/>
      <w:sz w:val="24"/>
      <w:szCs w:val="24"/>
      <w:lang w:val="en-AU" w:eastAsia="en-GB"/>
    </w:rPr>
  </w:style>
  <w:style w:type="character" w:customStyle="1" w:styleId="apple-converted-space">
    <w:name w:val="apple-converted-space"/>
    <w:basedOn w:val="DefaultParagraphFont"/>
    <w:rsid w:val="0086614F"/>
  </w:style>
  <w:style w:type="character" w:customStyle="1" w:styleId="whitespace-normal">
    <w:name w:val="whitespace-normal"/>
    <w:basedOn w:val="DefaultParagraphFont"/>
    <w:rsid w:val="0086614F"/>
  </w:style>
  <w:style w:type="character" w:styleId="Mention">
    <w:name w:val="Mention"/>
    <w:basedOn w:val="DefaultParagraphFont"/>
    <w:uiPriority w:val="99"/>
    <w:unhideWhenUsed/>
    <w:rsid w:val="0086614F"/>
    <w:rPr>
      <w:color w:val="2B579A"/>
      <w:shd w:val="clear" w:color="auto" w:fill="E1DFDD"/>
    </w:rPr>
  </w:style>
  <w:style w:type="paragraph" w:styleId="TOC3">
    <w:name w:val="toc 3"/>
    <w:basedOn w:val="Normal"/>
    <w:next w:val="Normal"/>
    <w:autoRedefine/>
    <w:uiPriority w:val="39"/>
    <w:unhideWhenUsed/>
    <w:rsid w:val="0086614F"/>
    <w:pPr>
      <w:ind w:left="220"/>
    </w:pPr>
    <w:rPr>
      <w:rFonts w:asciiTheme="minorHAnsi" w:hAnsiTheme="minorHAnsi" w:cstheme="minorHAnsi"/>
      <w:sz w:val="20"/>
      <w:szCs w:val="20"/>
    </w:rPr>
  </w:style>
  <w:style w:type="paragraph" w:styleId="TOC4">
    <w:name w:val="toc 4"/>
    <w:basedOn w:val="Normal"/>
    <w:next w:val="Normal"/>
    <w:autoRedefine/>
    <w:uiPriority w:val="39"/>
    <w:unhideWhenUsed/>
    <w:rsid w:val="0086614F"/>
    <w:pPr>
      <w:ind w:left="440"/>
    </w:pPr>
    <w:rPr>
      <w:rFonts w:asciiTheme="minorHAnsi" w:hAnsiTheme="minorHAnsi" w:cstheme="minorHAnsi"/>
      <w:sz w:val="20"/>
      <w:szCs w:val="20"/>
    </w:rPr>
  </w:style>
  <w:style w:type="paragraph" w:styleId="TOC5">
    <w:name w:val="toc 5"/>
    <w:basedOn w:val="Normal"/>
    <w:next w:val="Normal"/>
    <w:autoRedefine/>
    <w:uiPriority w:val="39"/>
    <w:unhideWhenUsed/>
    <w:rsid w:val="0086614F"/>
    <w:pPr>
      <w:ind w:left="660"/>
    </w:pPr>
    <w:rPr>
      <w:rFonts w:asciiTheme="minorHAnsi" w:hAnsiTheme="minorHAnsi" w:cstheme="minorHAnsi"/>
      <w:sz w:val="20"/>
      <w:szCs w:val="20"/>
    </w:rPr>
  </w:style>
  <w:style w:type="paragraph" w:styleId="TOC6">
    <w:name w:val="toc 6"/>
    <w:basedOn w:val="Normal"/>
    <w:next w:val="Normal"/>
    <w:autoRedefine/>
    <w:uiPriority w:val="39"/>
    <w:unhideWhenUsed/>
    <w:rsid w:val="0086614F"/>
    <w:pPr>
      <w:ind w:left="880"/>
    </w:pPr>
    <w:rPr>
      <w:rFonts w:asciiTheme="minorHAnsi" w:hAnsiTheme="minorHAnsi" w:cstheme="minorHAnsi"/>
      <w:sz w:val="20"/>
      <w:szCs w:val="20"/>
    </w:rPr>
  </w:style>
  <w:style w:type="paragraph" w:styleId="TOC7">
    <w:name w:val="toc 7"/>
    <w:basedOn w:val="Normal"/>
    <w:next w:val="Normal"/>
    <w:autoRedefine/>
    <w:uiPriority w:val="39"/>
    <w:unhideWhenUsed/>
    <w:rsid w:val="0086614F"/>
    <w:pPr>
      <w:ind w:left="1100"/>
    </w:pPr>
    <w:rPr>
      <w:rFonts w:asciiTheme="minorHAnsi" w:hAnsiTheme="minorHAnsi" w:cstheme="minorHAnsi"/>
      <w:sz w:val="20"/>
      <w:szCs w:val="20"/>
    </w:rPr>
  </w:style>
  <w:style w:type="paragraph" w:styleId="TOC8">
    <w:name w:val="toc 8"/>
    <w:basedOn w:val="Normal"/>
    <w:next w:val="Normal"/>
    <w:autoRedefine/>
    <w:uiPriority w:val="39"/>
    <w:unhideWhenUsed/>
    <w:rsid w:val="0086614F"/>
    <w:pPr>
      <w:ind w:left="1320"/>
    </w:pPr>
    <w:rPr>
      <w:rFonts w:asciiTheme="minorHAnsi" w:hAnsiTheme="minorHAnsi" w:cstheme="minorHAnsi"/>
      <w:sz w:val="20"/>
      <w:szCs w:val="20"/>
    </w:rPr>
  </w:style>
  <w:style w:type="paragraph" w:styleId="TOC9">
    <w:name w:val="toc 9"/>
    <w:basedOn w:val="Normal"/>
    <w:next w:val="Normal"/>
    <w:autoRedefine/>
    <w:uiPriority w:val="39"/>
    <w:unhideWhenUsed/>
    <w:rsid w:val="0086614F"/>
    <w:pPr>
      <w:ind w:left="1540"/>
    </w:pPr>
    <w:rPr>
      <w:rFonts w:asciiTheme="minorHAnsi" w:hAnsiTheme="minorHAnsi" w:cstheme="minorHAnsi"/>
      <w:sz w:val="20"/>
      <w:szCs w:val="20"/>
    </w:rPr>
  </w:style>
  <w:style w:type="character" w:styleId="PageNumber">
    <w:name w:val="page number"/>
    <w:basedOn w:val="DefaultParagraphFont"/>
    <w:uiPriority w:val="99"/>
    <w:semiHidden/>
    <w:unhideWhenUsed/>
    <w:rsid w:val="002C3C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microsoft.com/office/2020/10/relationships/intelligence" Target="intelligence2.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infrastructure.gov.au/department/media/publications/age-assurance-technology-trial-final-report" TargetMode="External"/><Relationship Id="rId3" Type="http://schemas.openxmlformats.org/officeDocument/2006/relationships/hyperlink" Target="https://www.accc.gov.au/inquiries-and-consultations/finalised-inquiries/digital-platform-services-inquiry-2020-25/march-2021-interim-report" TargetMode="External"/><Relationship Id="rId7" Type="http://schemas.openxmlformats.org/officeDocument/2006/relationships/hyperlink" Target="https://ia.acs.org.au/article/2025/discord-breach-hits-68-000-australians.html" TargetMode="External"/><Relationship Id="rId2" Type="http://schemas.openxmlformats.org/officeDocument/2006/relationships/hyperlink" Target="https://doi.org/10.1007/978-3-031-61831-4_5" TargetMode="External"/><Relationship Id="rId1" Type="http://schemas.openxmlformats.org/officeDocument/2006/relationships/hyperlink" Target="https://doi.org/10.1016/j.clsr.2025.106143" TargetMode="External"/><Relationship Id="rId6" Type="http://schemas.openxmlformats.org/officeDocument/2006/relationships/hyperlink" Target="https://doi.org/10.1177/1461444816686323" TargetMode="External"/><Relationship Id="rId5" Type="http://schemas.openxmlformats.org/officeDocument/2006/relationships/hyperlink" Target="https://doi.org/10.17645/mac.v8i4.3350" TargetMode="External"/><Relationship Id="rId4" Type="http://schemas.openxmlformats.org/officeDocument/2006/relationships/hyperlink" Target="https://www.ftc.gov/news-events/news/press-releases/2025/01/ftc-finalizes-changes-childrens-privacy-rule-limiting-companies-ability-monetize-kids-data" TargetMode="External"/><Relationship Id="rId9" Type="http://schemas.openxmlformats.org/officeDocument/2006/relationships/hyperlink" Target="https://www.scientificamerican.com/article/what-the-meta-and-google-verdict-means-for-social-media-desig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82b3e37e-8171-485d-b10b-38dae7ed14a8}" enabled="0" method="" siteId="{82b3e37e-8171-485d-b10b-38dae7ed14a8}" removed="1"/>
</clbl:labelList>
</file>

<file path=docProps/app.xml><?xml version="1.0" encoding="utf-8"?>
<Properties xmlns="http://schemas.openxmlformats.org/officeDocument/2006/extended-properties" xmlns:vt="http://schemas.openxmlformats.org/officeDocument/2006/docPropsVTypes">
  <Template>Normal.dotm</Template>
  <TotalTime>93</TotalTime>
  <Pages>15</Pages>
  <Words>6157</Words>
  <Characters>35096</Characters>
  <Application>Microsoft Office Word</Application>
  <DocSecurity>0</DocSecurity>
  <Lines>292</Lines>
  <Paragraphs>82</Paragraphs>
  <ScaleCrop>false</ScaleCrop>
  <Company/>
  <LinksUpToDate>false</LinksUpToDate>
  <CharactersWithSpaces>41171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Justine Humphry</cp:lastModifiedBy>
  <cp:revision>378</cp:revision>
  <dcterms:created xsi:type="dcterms:W3CDTF">2026-05-15T22:03:00Z</dcterms:created>
  <dcterms:modified xsi:type="dcterms:W3CDTF">2026-05-29T23:46:00Z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2026-05-14T00:00:00Z</vt:filetime>
  </property>
  <property fmtid="{D5CDD505-2E9C-101B-9397-08002B2CF9AE}" pid="3" name="Creator">
    <vt:lpwstr>Aspose Ltd.</vt:lpwstr>
  </property>
  <property fmtid="{D5CDD505-2E9C-101B-9397-08002B2CF9AE}" pid="4" name="LastSaved">
    <vt:filetime>2026-05-14T00:00:00Z</vt:filetime>
  </property>
  <property fmtid="{D5CDD505-2E9C-101B-9397-08002B2CF9AE}" pid="5" name="Producer">
    <vt:lpwstr>Aspose.Pdf for .NET 10.9.0</vt:lpwstr>
  </property>
</Properties>
</file>