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5E07F3" w14:textId="672CB38C" w:rsidR="001A46C7" w:rsidRPr="001A46C7" w:rsidRDefault="001A46C7" w:rsidP="001A46C7">
      <w:pPr>
        <w:pStyle w:val="Articletitle"/>
        <w:spacing w:line="276" w:lineRule="auto"/>
        <w:rPr>
          <w:b w:val="0"/>
          <w:bCs/>
        </w:rPr>
      </w:pPr>
      <w:r w:rsidRPr="001A46C7">
        <w:rPr>
          <w:b w:val="0"/>
          <w:bCs/>
          <w:lang w:val="en-IT"/>
        </w:rPr>
        <w:t xml:space="preserve">The Version of Record of this manuscript has been published and is available in </w:t>
      </w:r>
      <w:r>
        <w:rPr>
          <w:b w:val="0"/>
          <w:bCs/>
          <w:lang w:val="en-IT"/>
        </w:rPr>
        <w:t>Current Issues in Criminal Justice</w:t>
      </w:r>
      <w:r w:rsidRPr="001A46C7">
        <w:rPr>
          <w:b w:val="0"/>
          <w:bCs/>
          <w:lang w:val="en-IT"/>
        </w:rPr>
        <w:t xml:space="preserve"> </w:t>
      </w:r>
      <w:r>
        <w:rPr>
          <w:b w:val="0"/>
          <w:bCs/>
          <w:lang w:val="en-IT"/>
        </w:rPr>
        <w:t>28 December 2025</w:t>
      </w:r>
      <w:r w:rsidRPr="001A46C7">
        <w:rPr>
          <w:b w:val="0"/>
          <w:bCs/>
          <w:lang w:val="en-IT"/>
        </w:rPr>
        <w:t xml:space="preserve"> </w:t>
      </w:r>
      <w:hyperlink r:id="rId8" w:history="1">
        <w:r w:rsidRPr="00973524">
          <w:rPr>
            <w:rStyle w:val="Hyperlink"/>
            <w:b w:val="0"/>
            <w:bCs/>
          </w:rPr>
          <w:t>https://doi.org/10.1080/10345329.2025.2602988</w:t>
        </w:r>
      </w:hyperlink>
    </w:p>
    <w:p w14:paraId="17D5C8C4" w14:textId="77777777" w:rsidR="001A46C7" w:rsidRPr="001A46C7" w:rsidRDefault="001A46C7" w:rsidP="00AA5AD8">
      <w:pPr>
        <w:pStyle w:val="Articletitle"/>
        <w:spacing w:line="276" w:lineRule="auto"/>
        <w:rPr>
          <w:lang w:val="en-IT"/>
        </w:rPr>
      </w:pPr>
    </w:p>
    <w:p w14:paraId="19C73136" w14:textId="38F0EEA8" w:rsidR="00661045" w:rsidRDefault="0007213C" w:rsidP="00AA5AD8">
      <w:pPr>
        <w:pStyle w:val="Articletitle"/>
        <w:spacing w:line="276" w:lineRule="auto"/>
      </w:pPr>
      <w:r>
        <w:t xml:space="preserve">Emotionality in </w:t>
      </w:r>
      <w:r w:rsidR="00697908">
        <w:t>d</w:t>
      </w:r>
      <w:r>
        <w:t xml:space="preserve">omestic </w:t>
      </w:r>
      <w:r w:rsidR="00697908">
        <w:t>v</w:t>
      </w:r>
      <w:r>
        <w:t xml:space="preserve">iolence </w:t>
      </w:r>
      <w:r w:rsidR="00697908">
        <w:t>e</w:t>
      </w:r>
      <w:r>
        <w:t>vidence-in-</w:t>
      </w:r>
      <w:r w:rsidR="00697908">
        <w:t>c</w:t>
      </w:r>
      <w:r>
        <w:t xml:space="preserve">hief: </w:t>
      </w:r>
      <w:r w:rsidR="00697908">
        <w:t>t</w:t>
      </w:r>
      <w:r>
        <w:t xml:space="preserve">owards </w:t>
      </w:r>
      <w:r w:rsidR="00697908">
        <w:t>u</w:t>
      </w:r>
      <w:r>
        <w:t xml:space="preserve">nbiased and </w:t>
      </w:r>
      <w:r w:rsidR="00697908">
        <w:t>r</w:t>
      </w:r>
      <w:r>
        <w:t xml:space="preserve">ational </w:t>
      </w:r>
      <w:r w:rsidR="00697908">
        <w:t>l</w:t>
      </w:r>
      <w:r>
        <w:t xml:space="preserve">egal </w:t>
      </w:r>
      <w:r w:rsidR="00697908">
        <w:t>f</w:t>
      </w:r>
      <w:r>
        <w:t>act-</w:t>
      </w:r>
      <w:r w:rsidR="00697908">
        <w:t>f</w:t>
      </w:r>
      <w:r>
        <w:t>inding</w:t>
      </w:r>
    </w:p>
    <w:p w14:paraId="4DACFE24" w14:textId="77777777" w:rsidR="00083876" w:rsidRDefault="00083876" w:rsidP="00083876">
      <w:pPr>
        <w:pStyle w:val="Authornames"/>
      </w:pPr>
      <w:r>
        <w:t>Caterina Gattinara</w:t>
      </w:r>
      <w:r w:rsidRPr="00394920">
        <w:rPr>
          <w:vertAlign w:val="superscript"/>
        </w:rPr>
        <w:t>a</w:t>
      </w:r>
      <w:r>
        <w:t>*, Andrew Roberts</w:t>
      </w:r>
      <w:r w:rsidRPr="00394920">
        <w:rPr>
          <w:vertAlign w:val="superscript"/>
        </w:rPr>
        <w:t>b</w:t>
      </w:r>
      <w:r>
        <w:t xml:space="preserve">, and Celine van </w:t>
      </w:r>
      <w:proofErr w:type="spellStart"/>
      <w:r>
        <w:t>Golde</w:t>
      </w:r>
      <w:r>
        <w:rPr>
          <w:vertAlign w:val="superscript"/>
        </w:rPr>
        <w:t>c</w:t>
      </w:r>
      <w:proofErr w:type="spellEnd"/>
      <w:r>
        <w:t xml:space="preserve"> </w:t>
      </w:r>
    </w:p>
    <w:p w14:paraId="009E891E" w14:textId="77777777" w:rsidR="00083876" w:rsidRPr="007D4262" w:rsidRDefault="00083876" w:rsidP="00083876">
      <w:pPr>
        <w:pStyle w:val="Affiliation"/>
      </w:pPr>
      <w:proofErr w:type="spellStart"/>
      <w:r w:rsidRPr="00394920">
        <w:rPr>
          <w:vertAlign w:val="superscript"/>
        </w:rPr>
        <w:t>a</w:t>
      </w:r>
      <w:r>
        <w:t>Faculty</w:t>
      </w:r>
      <w:proofErr w:type="spellEnd"/>
      <w:r>
        <w:t xml:space="preserve"> of Science, School of Psychology, The University of Sydney, Sydney, Australia;</w:t>
      </w:r>
      <w:r w:rsidRPr="003152C8">
        <w:t xml:space="preserve"> </w:t>
      </w:r>
      <w:proofErr w:type="spellStart"/>
      <w:r w:rsidRPr="00394920">
        <w:rPr>
          <w:vertAlign w:val="superscript"/>
        </w:rPr>
        <w:t>b</w:t>
      </w:r>
      <w:r>
        <w:t>Melbourne</w:t>
      </w:r>
      <w:proofErr w:type="spellEnd"/>
      <w:r>
        <w:t xml:space="preserve"> Law School, The University of Melbourne, Melbourne, Australia: </w:t>
      </w:r>
      <w:proofErr w:type="spellStart"/>
      <w:r>
        <w:rPr>
          <w:vertAlign w:val="superscript"/>
        </w:rPr>
        <w:t>c</w:t>
      </w:r>
      <w:r>
        <w:t>Faculty</w:t>
      </w:r>
      <w:proofErr w:type="spellEnd"/>
      <w:r>
        <w:t xml:space="preserve"> of Science, School of Psychology, The University of Sydney, Sydney, Australia</w:t>
      </w:r>
    </w:p>
    <w:p w14:paraId="5CFEF5CD" w14:textId="77777777" w:rsidR="00083876" w:rsidRDefault="00083876" w:rsidP="00083876">
      <w:pPr>
        <w:pStyle w:val="Correspondencedetails"/>
      </w:pPr>
      <w:r>
        <w:t xml:space="preserve">*Corresponding author: Caterina Gattinara, </w:t>
      </w:r>
      <w:hyperlink r:id="rId9" w:history="1">
        <w:r w:rsidRPr="007334C9">
          <w:rPr>
            <w:rStyle w:val="Hyperlink"/>
          </w:rPr>
          <w:t>caterina.gattinara@sydney.edu.au</w:t>
        </w:r>
      </w:hyperlink>
    </w:p>
    <w:p w14:paraId="3C289244" w14:textId="77777777" w:rsidR="00083876" w:rsidRPr="007D4262" w:rsidRDefault="00083876" w:rsidP="00083876">
      <w:pPr>
        <w:pStyle w:val="Notesoncontributors"/>
        <w:rPr>
          <w:iCs/>
        </w:rPr>
      </w:pPr>
      <w:r w:rsidRPr="005C29C7">
        <w:rPr>
          <w:iCs/>
        </w:rPr>
        <w:t>Caterina Gattinara: ORCID 0009-0002-0418-812X</w:t>
      </w:r>
      <w:r>
        <w:rPr>
          <w:iCs/>
        </w:rPr>
        <w:t>,</w:t>
      </w:r>
      <w:r w:rsidRPr="005C29C7">
        <w:rPr>
          <w:iCs/>
        </w:rPr>
        <w:t xml:space="preserve"> LinkedIn: </w:t>
      </w:r>
      <w:hyperlink r:id="rId10" w:history="1">
        <w:r w:rsidRPr="005C29C7">
          <w:rPr>
            <w:rStyle w:val="Hyperlink"/>
            <w:iCs/>
          </w:rPr>
          <w:t>www.linkedin.com/in/caterina-gattinara-2b47831b2</w:t>
        </w:r>
      </w:hyperlink>
      <w:r>
        <w:rPr>
          <w:iCs/>
        </w:rPr>
        <w:t xml:space="preserve">; </w:t>
      </w:r>
      <w:r w:rsidRPr="005C29C7">
        <w:rPr>
          <w:iCs/>
        </w:rPr>
        <w:t xml:space="preserve">Andrew Roberts: ORCID </w:t>
      </w:r>
      <w:r w:rsidRPr="005C29C7">
        <w:rPr>
          <w:iCs/>
          <w:lang w:val="en-US"/>
        </w:rPr>
        <w:t>0000-0001-8569-6681</w:t>
      </w:r>
      <w:r>
        <w:rPr>
          <w:iCs/>
          <w:lang w:val="en-US"/>
        </w:rPr>
        <w:t xml:space="preserve">; </w:t>
      </w:r>
      <w:r w:rsidRPr="005C29C7">
        <w:rPr>
          <w:iCs/>
        </w:rPr>
        <w:t>Celine van Golde: ORCID 0000-0002-1950-4722</w:t>
      </w:r>
      <w:r>
        <w:rPr>
          <w:iCs/>
        </w:rPr>
        <w:t>,</w:t>
      </w:r>
      <w:r w:rsidRPr="005C29C7">
        <w:rPr>
          <w:iCs/>
        </w:rPr>
        <w:t xml:space="preserve"> LinkedIn: </w:t>
      </w:r>
      <w:hyperlink r:id="rId11" w:history="1">
        <w:r w:rsidRPr="005C29C7">
          <w:rPr>
            <w:rStyle w:val="Hyperlink"/>
            <w:iCs/>
          </w:rPr>
          <w:t>https://www.linkedin.com/in/celine-van-golde-8b133296</w:t>
        </w:r>
      </w:hyperlink>
      <w:r>
        <w:rPr>
          <w:iCs/>
        </w:rPr>
        <w:t>,</w:t>
      </w:r>
      <w:r w:rsidRPr="005C29C7">
        <w:rPr>
          <w:iCs/>
        </w:rPr>
        <w:t xml:space="preserve"> Twitter: @celinevangolde</w:t>
      </w:r>
      <w:r>
        <w:rPr>
          <w:iCs/>
        </w:rPr>
        <w:t>.</w:t>
      </w:r>
    </w:p>
    <w:p w14:paraId="7B800301" w14:textId="77777777" w:rsidR="00083876" w:rsidRPr="0079619F" w:rsidRDefault="00083876" w:rsidP="00083876">
      <w:pPr>
        <w:pStyle w:val="Correspondencedetails"/>
      </w:pPr>
      <w:r w:rsidRPr="0079619F">
        <w:rPr>
          <w:b/>
          <w:lang w:val="en-US"/>
        </w:rPr>
        <w:t>Funding details.</w:t>
      </w:r>
      <w:r w:rsidRPr="0079619F">
        <w:rPr>
          <w:lang w:val="en-US"/>
        </w:rPr>
        <w:t xml:space="preserve"> </w:t>
      </w:r>
      <w:r w:rsidRPr="0079619F">
        <w:rPr>
          <w:lang w:val="en-US"/>
        </w:rPr>
        <w:br/>
        <w:t>This work was supported by the A</w:t>
      </w:r>
      <w:r>
        <w:rPr>
          <w:lang w:val="en-US"/>
        </w:rPr>
        <w:t>ustralian Research Council (ARC)</w:t>
      </w:r>
      <w:r w:rsidRPr="0079619F">
        <w:rPr>
          <w:lang w:val="en-US"/>
        </w:rPr>
        <w:t xml:space="preserve"> under Grant</w:t>
      </w:r>
      <w:r>
        <w:rPr>
          <w:lang w:val="en-US"/>
        </w:rPr>
        <w:t xml:space="preserve"> DP240100169.</w:t>
      </w:r>
    </w:p>
    <w:p w14:paraId="3CD9EDB2" w14:textId="6CC41CC5" w:rsidR="00C246C5" w:rsidRPr="00697908" w:rsidRDefault="00C14585" w:rsidP="00083876">
      <w:pPr>
        <w:pStyle w:val="Correspondencedetails"/>
        <w:spacing w:line="276" w:lineRule="auto"/>
        <w:rPr>
          <w:b/>
          <w:bCs/>
        </w:rPr>
      </w:pPr>
      <w:r>
        <w:br w:type="page"/>
      </w:r>
      <w:r w:rsidR="008D6D4D" w:rsidRPr="00697908">
        <w:rPr>
          <w:b/>
          <w:bCs/>
        </w:rPr>
        <w:lastRenderedPageBreak/>
        <w:t>Emotionality in Domestic Violence Evidence-in-Chief: Towards an Unbiased and Rational Legal Fact-Finding</w:t>
      </w:r>
    </w:p>
    <w:p w14:paraId="4EA5EDD0" w14:textId="4D3A3063" w:rsidR="00D97CB3" w:rsidRPr="00AA5AD8" w:rsidRDefault="00D97CB3" w:rsidP="00AA5AD8">
      <w:pPr>
        <w:pStyle w:val="Abstract"/>
        <w:spacing w:line="276" w:lineRule="auto"/>
        <w:jc w:val="both"/>
        <w:rPr>
          <w:sz w:val="20"/>
          <w:szCs w:val="20"/>
        </w:rPr>
      </w:pPr>
      <w:r w:rsidRPr="00AA5AD8">
        <w:rPr>
          <w:sz w:val="20"/>
          <w:szCs w:val="20"/>
        </w:rPr>
        <w:t xml:space="preserve">Domestic Violence Evidence-in-Chief represents a significant shift in evidentiary practice in Domestic and Family Violence cases. These pre-recorded statements, typically captured shortly after an incident, offer an immediate and seemingly authentic account of events. However, concerns have been raised about the potential introduction of extra-legal influences through elements visible or audible in the recordings. </w:t>
      </w:r>
      <w:r w:rsidRPr="00AA5AD8">
        <w:rPr>
          <w:sz w:val="20"/>
          <w:szCs w:val="20"/>
          <w:lang w:val="en-AU"/>
        </w:rPr>
        <w:t>One such element is emotionality</w:t>
      </w:r>
      <w:r w:rsidRPr="00AA5AD8">
        <w:rPr>
          <w:sz w:val="20"/>
          <w:szCs w:val="20"/>
        </w:rPr>
        <w:t xml:space="preserve">, as complainants’ emotional displays in the footage may impact </w:t>
      </w:r>
      <w:proofErr w:type="gramStart"/>
      <w:r w:rsidRPr="00AA5AD8">
        <w:rPr>
          <w:sz w:val="20"/>
          <w:szCs w:val="20"/>
        </w:rPr>
        <w:t>fact-finders</w:t>
      </w:r>
      <w:proofErr w:type="gramEnd"/>
      <w:r w:rsidRPr="00AA5AD8">
        <w:rPr>
          <w:sz w:val="20"/>
          <w:szCs w:val="20"/>
        </w:rPr>
        <w:t xml:space="preserve">’ credibility assessments and legal decision-making. </w:t>
      </w:r>
      <w:r w:rsidRPr="00AA5AD8">
        <w:rPr>
          <w:sz w:val="20"/>
          <w:szCs w:val="20"/>
          <w:lang w:val="en-AU"/>
        </w:rPr>
        <w:t>Research on the Emotional Victim Effect suggests that visibly distressed victims of sexual assault tend to be perceived as more credible than emotionally neutral ones. However, there is limited understanding of whether this effect also applies to Domestic Violence Evidence-in-Chief. Moreover, it has been established through experimental research in other contexts that jurors’ own emotional states influence how they evaluate evidence and make judgements.</w:t>
      </w:r>
      <w:r w:rsidRPr="00AA5AD8">
        <w:rPr>
          <w:sz w:val="20"/>
          <w:szCs w:val="20"/>
        </w:rPr>
        <w:t xml:space="preserve"> This article highlights the risk of emotional bias in pre-recorded evidence and calls for further empirical investigation. The aim is to inform the development of evidence-based practices to promote rational fact-finding in Domestic and Family Violence prosecutions.</w:t>
      </w:r>
    </w:p>
    <w:p w14:paraId="517FEB8C" w14:textId="7F9EF32F" w:rsidR="0020415E" w:rsidRPr="00AA5AD8" w:rsidRDefault="00997B0F" w:rsidP="00AA5AD8">
      <w:pPr>
        <w:pStyle w:val="Keywords"/>
        <w:spacing w:line="276" w:lineRule="auto"/>
        <w:rPr>
          <w:sz w:val="20"/>
          <w:szCs w:val="20"/>
        </w:rPr>
      </w:pPr>
      <w:r w:rsidRPr="00AA5AD8">
        <w:rPr>
          <w:sz w:val="20"/>
          <w:szCs w:val="20"/>
        </w:rPr>
        <w:t xml:space="preserve">Keywords: </w:t>
      </w:r>
      <w:r w:rsidR="00766DF0" w:rsidRPr="00AA5AD8">
        <w:rPr>
          <w:sz w:val="20"/>
          <w:szCs w:val="20"/>
          <w:lang w:val="en-AU"/>
        </w:rPr>
        <w:t>domestic violence evidence-in-chief, emotional victim effect, emotional bias, pre-recorded evidence, credibility assessments, legal decision-making, evidence-based reform</w:t>
      </w:r>
    </w:p>
    <w:p w14:paraId="4039BBCB" w14:textId="7E83E85D" w:rsidR="00997B0F" w:rsidRPr="0090422A" w:rsidRDefault="005D3810" w:rsidP="00AA5AD8">
      <w:pPr>
        <w:pStyle w:val="Heading1"/>
        <w:spacing w:line="276" w:lineRule="auto"/>
      </w:pPr>
      <w:r w:rsidRPr="0090422A">
        <w:t>Introduction</w:t>
      </w:r>
    </w:p>
    <w:p w14:paraId="68329CB0" w14:textId="1466890E" w:rsidR="002979FF" w:rsidRPr="0090422A" w:rsidRDefault="00283C1D" w:rsidP="00AA5AD8">
      <w:pPr>
        <w:pStyle w:val="Paragraph"/>
        <w:spacing w:line="276" w:lineRule="auto"/>
        <w:jc w:val="both"/>
      </w:pPr>
      <w:r w:rsidRPr="0090422A">
        <w:t>Domestic and family violence is widespread – affecting one in four women in Australia since the age of 15</w:t>
      </w:r>
      <w:r w:rsidR="00B90FA0">
        <w:t xml:space="preserve"> (Australian Bureau of Statistics 2022).</w:t>
      </w:r>
      <w:r w:rsidRPr="0090422A">
        <w:t xml:space="preserve"> </w:t>
      </w:r>
      <w:proofErr w:type="gramStart"/>
      <w:r w:rsidRPr="0090422A">
        <w:t>The majority of</w:t>
      </w:r>
      <w:proofErr w:type="gramEnd"/>
      <w:r w:rsidRPr="0090422A">
        <w:t xml:space="preserve"> incidents go unreported. In New South Wales, for instance, police receive around 2,500 reports each month, yet this is estimated to represent only 40% of actual incidents</w:t>
      </w:r>
      <w:r w:rsidR="008C6B1F">
        <w:t xml:space="preserve"> (NSW Council of Social Service 2021)</w:t>
      </w:r>
      <w:r w:rsidRPr="0090422A">
        <w:t>. Reasons for underreporting include fear of revenge or further violence, feelings of shame or embarrassment, beliefs that the incident was not serious enough, and the practical burdens associated with making a report</w:t>
      </w:r>
      <w:r w:rsidR="00CB2DD0">
        <w:t xml:space="preserve"> </w:t>
      </w:r>
      <w:r w:rsidR="00E03008">
        <w:t>(</w:t>
      </w:r>
      <w:r w:rsidR="00447597">
        <w:t xml:space="preserve">Birdsey and </w:t>
      </w:r>
      <w:r w:rsidR="005A6891">
        <w:t>Snowball 2013)</w:t>
      </w:r>
      <w:r w:rsidRPr="0090422A">
        <w:t xml:space="preserve">. </w:t>
      </w:r>
    </w:p>
    <w:p w14:paraId="5EB53EAF" w14:textId="59E996CD" w:rsidR="00283C1D" w:rsidRPr="00283C1D" w:rsidRDefault="00283C1D" w:rsidP="00AA5AD8">
      <w:pPr>
        <w:pStyle w:val="Newparagraph"/>
        <w:spacing w:line="276" w:lineRule="auto"/>
        <w:jc w:val="both"/>
      </w:pPr>
      <w:r w:rsidRPr="00283C1D">
        <w:t xml:space="preserve">To improve prosecution rates and reduce reliance on victim testimony, police and prosecutors </w:t>
      </w:r>
      <w:r w:rsidR="00D509DE">
        <w:t>i</w:t>
      </w:r>
      <w:r w:rsidR="005F394A">
        <w:t xml:space="preserve">n Australia and other common law jurisdictions </w:t>
      </w:r>
      <w:r w:rsidRPr="00283C1D">
        <w:t>have increasingly pursued so-called ‘victimless prosecutions’</w:t>
      </w:r>
      <w:r w:rsidR="007B1872">
        <w:t xml:space="preserve"> (</w:t>
      </w:r>
      <w:proofErr w:type="spellStart"/>
      <w:r w:rsidR="007B1872">
        <w:t>Westera</w:t>
      </w:r>
      <w:proofErr w:type="spellEnd"/>
      <w:r w:rsidR="007B1872">
        <w:t xml:space="preserve"> and Powell 2015)</w:t>
      </w:r>
      <w:r w:rsidRPr="00283C1D">
        <w:t>.</w:t>
      </w:r>
      <w:r w:rsidRPr="00283C1D">
        <w:rPr>
          <w:vertAlign w:val="superscript"/>
        </w:rPr>
        <w:t xml:space="preserve"> </w:t>
      </w:r>
      <w:r w:rsidRPr="00283C1D">
        <w:t>In some cases, they may still include the use of a victim’s statement, provided it falls within one of the recognised hearsay exceptions, such as those in ss 65</w:t>
      </w:r>
      <w:r w:rsidR="000B78D1">
        <w:t xml:space="preserve"> (maker of the representation unavailable) and </w:t>
      </w:r>
      <w:r w:rsidRPr="00283C1D">
        <w:t>66A</w:t>
      </w:r>
      <w:r w:rsidR="000B78D1">
        <w:t xml:space="preserve"> (contemporaneous statements about a person’s health, feelings, state of mind </w:t>
      </w:r>
      <w:proofErr w:type="gramStart"/>
      <w:r w:rsidR="000B78D1">
        <w:t xml:space="preserve">etc) </w:t>
      </w:r>
      <w:r w:rsidRPr="00283C1D">
        <w:t xml:space="preserve"> of</w:t>
      </w:r>
      <w:proofErr w:type="gramEnd"/>
      <w:r w:rsidRPr="00283C1D">
        <w:t xml:space="preserve"> the </w:t>
      </w:r>
      <w:r w:rsidR="000B78D1">
        <w:t xml:space="preserve">Uniform </w:t>
      </w:r>
      <w:r w:rsidRPr="00283C1D">
        <w:t xml:space="preserve">Evidence </w:t>
      </w:r>
      <w:r w:rsidR="000B78D1">
        <w:t>Law</w:t>
      </w:r>
      <w:r w:rsidR="005A5C68">
        <w:t>.</w:t>
      </w:r>
      <w:r w:rsidRPr="00283C1D">
        <w:t xml:space="preserve"> However, the effectiveness of such prosecutions is often limited, as police investigations frequently fail to gather sufficient alternative evidence, such as written statements from other witnesses, photographs of injuries, medical evidence, or recordings of emergency calls or CCTV footage, which are often missing or incomplete</w:t>
      </w:r>
      <w:r w:rsidR="000C1817">
        <w:t xml:space="preserve"> (</w:t>
      </w:r>
      <w:proofErr w:type="spellStart"/>
      <w:r w:rsidR="000C1817">
        <w:t>Wester</w:t>
      </w:r>
      <w:r w:rsidR="008C38A4">
        <w:t>a</w:t>
      </w:r>
      <w:proofErr w:type="spellEnd"/>
      <w:r w:rsidR="000C1817">
        <w:t xml:space="preserve"> and Powell 2015)</w:t>
      </w:r>
      <w:r w:rsidRPr="00283C1D">
        <w:t>. To improve the quality of evidence in Domestic and Family Violence cases, legislative reforms across Australia and New Zealand have made it permissible for video-recorded statements, such as those captured via body-worn or portable devices, to be admitted as evidence-in-chief</w:t>
      </w:r>
      <w:r w:rsidR="000C1817">
        <w:t xml:space="preserve"> (</w:t>
      </w:r>
      <w:r w:rsidR="000302F7" w:rsidRPr="000302F7">
        <w:t xml:space="preserve">Crimes </w:t>
      </w:r>
      <w:r w:rsidR="005F394A">
        <w:t>(</w:t>
      </w:r>
      <w:r w:rsidR="000302F7" w:rsidRPr="000302F7">
        <w:t xml:space="preserve">Domestic and Family </w:t>
      </w:r>
      <w:r w:rsidR="000302F7" w:rsidRPr="000302F7">
        <w:lastRenderedPageBreak/>
        <w:t>Violence</w:t>
      </w:r>
      <w:r w:rsidR="005F394A">
        <w:t>)</w:t>
      </w:r>
      <w:r w:rsidR="000302F7" w:rsidRPr="000302F7">
        <w:t xml:space="preserve"> Legislation Amendment Act 2015 </w:t>
      </w:r>
      <w:r w:rsidR="005F394A">
        <w:t>(</w:t>
      </w:r>
      <w:r w:rsidR="000302F7" w:rsidRPr="000302F7">
        <w:t>ACT</w:t>
      </w:r>
      <w:r w:rsidR="005F394A">
        <w:t>)</w:t>
      </w:r>
      <w:r w:rsidR="000302F7" w:rsidRPr="000302F7">
        <w:t>, ss 77</w:t>
      </w:r>
      <w:r w:rsidR="000302F7">
        <w:t>-</w:t>
      </w:r>
      <w:r w:rsidR="000302F7" w:rsidRPr="000302F7">
        <w:t xml:space="preserve">81G; Criminal Procedure Amendment </w:t>
      </w:r>
      <w:r w:rsidR="005F394A">
        <w:t>(</w:t>
      </w:r>
      <w:r w:rsidR="000302F7" w:rsidRPr="000302F7">
        <w:t>Domestic Violence Complainants</w:t>
      </w:r>
      <w:r w:rsidR="005F394A">
        <w:t>)</w:t>
      </w:r>
      <w:r w:rsidR="000302F7" w:rsidRPr="000302F7">
        <w:t xml:space="preserve"> Act 2014 </w:t>
      </w:r>
      <w:r w:rsidR="005F394A">
        <w:t>(</w:t>
      </w:r>
      <w:r w:rsidR="000302F7" w:rsidRPr="000302F7">
        <w:t>NSW</w:t>
      </w:r>
      <w:r w:rsidR="005F394A">
        <w:t>)</w:t>
      </w:r>
      <w:r w:rsidR="000302F7" w:rsidRPr="000302F7">
        <w:t xml:space="preserve">, pt 4B; Justice Legislation Amendment </w:t>
      </w:r>
      <w:r w:rsidR="005F394A">
        <w:t>(</w:t>
      </w:r>
      <w:r w:rsidR="000302F7" w:rsidRPr="000302F7">
        <w:t>Body-Worn Video and Domestic Violence Evidence</w:t>
      </w:r>
      <w:r w:rsidR="005F394A">
        <w:t>)</w:t>
      </w:r>
      <w:r w:rsidR="000302F7" w:rsidRPr="000302F7">
        <w:t xml:space="preserve"> Act 2017 </w:t>
      </w:r>
      <w:r w:rsidR="005F394A">
        <w:t>(</w:t>
      </w:r>
      <w:r w:rsidR="000302F7" w:rsidRPr="000302F7">
        <w:t>NT</w:t>
      </w:r>
      <w:r w:rsidR="005F394A">
        <w:t>)</w:t>
      </w:r>
      <w:r w:rsidR="000302F7" w:rsidRPr="000302F7">
        <w:t xml:space="preserve">, pt 3A; Criminal Procedure Act 2009 </w:t>
      </w:r>
      <w:r w:rsidR="005F394A">
        <w:t>(</w:t>
      </w:r>
      <w:r w:rsidR="000302F7" w:rsidRPr="000302F7">
        <w:t>Vic</w:t>
      </w:r>
      <w:r w:rsidR="005F394A">
        <w:t>)</w:t>
      </w:r>
      <w:r w:rsidR="000302F7" w:rsidRPr="000302F7">
        <w:t>, ss 387C</w:t>
      </w:r>
      <w:r w:rsidR="000302F7">
        <w:t>-</w:t>
      </w:r>
      <w:r w:rsidR="000302F7" w:rsidRPr="000302F7">
        <w:t xml:space="preserve">387N; Evidence Amendment Act 2016 </w:t>
      </w:r>
      <w:r w:rsidR="005F394A">
        <w:t>(</w:t>
      </w:r>
      <w:r w:rsidR="000302F7" w:rsidRPr="000302F7">
        <w:t>NZ</w:t>
      </w:r>
      <w:r w:rsidR="005F394A">
        <w:t>)</w:t>
      </w:r>
      <w:r w:rsidR="000302F7" w:rsidRPr="000302F7">
        <w:t>, s 106</w:t>
      </w:r>
      <w:r w:rsidR="009C6094">
        <w:t>)</w:t>
      </w:r>
      <w:r w:rsidRPr="00283C1D">
        <w:t>,</w:t>
      </w:r>
      <w:r w:rsidRPr="00283C1D">
        <w:rPr>
          <w:lang w:val="en-AU"/>
        </w:rPr>
        <w:t xml:space="preserve"> bypassing traditional hearsay restrictions and allowing the prosecution to rely on recordings rather than testimony</w:t>
      </w:r>
      <w:r w:rsidR="00E35F58">
        <w:rPr>
          <w:lang w:val="en-AU"/>
        </w:rPr>
        <w:t xml:space="preserve"> (</w:t>
      </w:r>
      <w:r w:rsidR="00E35F58" w:rsidRPr="00E35F58">
        <w:t xml:space="preserve">Criminal Procedure Amendment </w:t>
      </w:r>
      <w:r w:rsidR="005F394A">
        <w:t>(</w:t>
      </w:r>
      <w:r w:rsidR="00E35F58" w:rsidRPr="00E35F58">
        <w:t>Domestic Violence Complainants</w:t>
      </w:r>
      <w:r w:rsidR="005F394A">
        <w:t>)</w:t>
      </w:r>
      <w:r w:rsidR="00E35F58" w:rsidRPr="00E35F58">
        <w:t xml:space="preserve"> Act 2014 </w:t>
      </w:r>
      <w:r w:rsidR="005F394A">
        <w:t>(</w:t>
      </w:r>
      <w:r w:rsidR="00E35F58" w:rsidRPr="00E35F58">
        <w:t>NSW</w:t>
      </w:r>
      <w:r w:rsidR="005F394A">
        <w:t>)</w:t>
      </w:r>
      <w:r w:rsidR="00E35F58" w:rsidRPr="00E35F58">
        <w:t>, s 289I</w:t>
      </w:r>
      <w:r w:rsidR="005F394A">
        <w:t>(</w:t>
      </w:r>
      <w:r w:rsidR="00E35F58" w:rsidRPr="00E35F58">
        <w:t>1</w:t>
      </w:r>
      <w:r w:rsidR="005F394A">
        <w:t>)</w:t>
      </w:r>
      <w:r w:rsidR="00E35F58">
        <w:t>)</w:t>
      </w:r>
      <w:r w:rsidRPr="00283C1D">
        <w:rPr>
          <w:lang w:val="en-AU"/>
        </w:rPr>
        <w:t>.</w:t>
      </w:r>
      <w:r w:rsidR="005F394A">
        <w:rPr>
          <w:lang w:val="en-AU"/>
        </w:rPr>
        <w:t xml:space="preserve"> In other jurisdictions</w:t>
      </w:r>
      <w:r w:rsidR="00D509DE">
        <w:rPr>
          <w:lang w:val="en-AU"/>
        </w:rPr>
        <w:t>,</w:t>
      </w:r>
      <w:r w:rsidR="005F394A">
        <w:rPr>
          <w:lang w:val="en-AU"/>
        </w:rPr>
        <w:t xml:space="preserve"> such recordings are increasingly being admitted under </w:t>
      </w:r>
      <w:r w:rsidR="00D509DE">
        <w:rPr>
          <w:lang w:val="en-AU"/>
        </w:rPr>
        <w:t xml:space="preserve">the general </w:t>
      </w:r>
      <w:r w:rsidR="005F394A">
        <w:rPr>
          <w:lang w:val="en-AU"/>
        </w:rPr>
        <w:t>hearsay exceptions</w:t>
      </w:r>
      <w:r w:rsidR="00D509DE">
        <w:rPr>
          <w:lang w:val="en-AU"/>
        </w:rPr>
        <w:t>.</w:t>
      </w:r>
    </w:p>
    <w:p w14:paraId="6A329E22" w14:textId="714B2D62" w:rsidR="00283C1D" w:rsidRPr="00283C1D" w:rsidRDefault="00283C1D" w:rsidP="00AA5AD8">
      <w:pPr>
        <w:pStyle w:val="Newparagraph"/>
        <w:spacing w:line="276" w:lineRule="auto"/>
        <w:jc w:val="both"/>
        <w:rPr>
          <w:u w:val="single"/>
          <w:lang w:val="en-AU"/>
        </w:rPr>
      </w:pPr>
      <w:r w:rsidRPr="00283C1D">
        <w:t xml:space="preserve">However, this new form of evidence may contain contextual information and displays of emotion that might not have been revealed to a </w:t>
      </w:r>
      <w:proofErr w:type="gramStart"/>
      <w:r w:rsidR="00D509DE">
        <w:t>fact-finder</w:t>
      </w:r>
      <w:proofErr w:type="gramEnd"/>
      <w:r w:rsidR="00D509DE" w:rsidRPr="00283C1D">
        <w:t xml:space="preserve"> </w:t>
      </w:r>
      <w:r w:rsidRPr="00283C1D">
        <w:t>had the evidence been presented to them in the form of testimony</w:t>
      </w:r>
      <w:r w:rsidR="002E1442">
        <w:t xml:space="preserve"> (</w:t>
      </w:r>
      <w:r w:rsidR="002E1442" w:rsidRPr="002E1442">
        <w:t>Roberts and Ormerod 2021</w:t>
      </w:r>
      <w:r w:rsidR="002E1442">
        <w:t>)</w:t>
      </w:r>
      <w:r w:rsidRPr="00283C1D">
        <w:t xml:space="preserve">. A key concern is </w:t>
      </w:r>
      <w:r w:rsidRPr="00283C1D">
        <w:rPr>
          <w:lang w:val="en-AU"/>
        </w:rPr>
        <w:t>complainant emotionality captured in the footage – both audible and visible – which may shape credibility assessments and, subsequently, verdicts</w:t>
      </w:r>
      <w:r w:rsidR="00A4363C">
        <w:rPr>
          <w:lang w:val="en-AU"/>
        </w:rPr>
        <w:t xml:space="preserve"> (</w:t>
      </w:r>
      <w:r w:rsidR="00A4363C" w:rsidRPr="00A4363C">
        <w:t>Kaufmann et al. 2003</w:t>
      </w:r>
      <w:r w:rsidR="00A4363C">
        <w:t>)</w:t>
      </w:r>
      <w:r w:rsidRPr="00283C1D">
        <w:rPr>
          <w:lang w:val="en-AU"/>
        </w:rPr>
        <w:t xml:space="preserve">. This article argues that the change in mode of evidence presentation might influence both how the complainant is perceived and the evidence evaluated. In particular, </w:t>
      </w:r>
      <w:r w:rsidRPr="00283C1D">
        <w:t xml:space="preserve">the use of pre-recorded complainant statements introduces new risks of emotional bias in legal fact-finding, which </w:t>
      </w:r>
      <w:r w:rsidRPr="00283C1D">
        <w:rPr>
          <w:lang w:val="en-AU"/>
        </w:rPr>
        <w:t>might undermine rational fact-finding.</w:t>
      </w:r>
    </w:p>
    <w:p w14:paraId="32E96109" w14:textId="734D1F7B" w:rsidR="00283C1D" w:rsidRPr="00283C1D" w:rsidRDefault="00283C1D" w:rsidP="00AA5AD8">
      <w:pPr>
        <w:pStyle w:val="Newparagraph"/>
        <w:spacing w:line="276" w:lineRule="auto"/>
        <w:jc w:val="both"/>
        <w:rPr>
          <w:lang w:val="en-AU"/>
        </w:rPr>
      </w:pPr>
      <w:r w:rsidRPr="00283C1D">
        <w:rPr>
          <w:lang w:val="en-AU"/>
        </w:rPr>
        <w:t>One relevant psychological phenomenon is the Emotional Victim Effect, which suggests that visibly distressed victims of sexual assault tend to be perceived as more credible than emotionally neutral ones</w:t>
      </w:r>
      <w:r w:rsidR="003832AE">
        <w:rPr>
          <w:lang w:val="en-AU"/>
        </w:rPr>
        <w:t xml:space="preserve"> (</w:t>
      </w:r>
      <w:r w:rsidR="003832AE" w:rsidRPr="003832AE">
        <w:t xml:space="preserve">Ask and </w:t>
      </w:r>
      <w:proofErr w:type="spellStart"/>
      <w:r w:rsidR="003832AE" w:rsidRPr="003832AE">
        <w:t>Landström</w:t>
      </w:r>
      <w:proofErr w:type="spellEnd"/>
      <w:r w:rsidR="003832AE" w:rsidRPr="003832AE">
        <w:t xml:space="preserve"> 2010</w:t>
      </w:r>
      <w:r w:rsidR="003832AE">
        <w:t>)</w:t>
      </w:r>
      <w:r w:rsidRPr="00283C1D">
        <w:rPr>
          <w:lang w:val="en-AU"/>
        </w:rPr>
        <w:t>.</w:t>
      </w:r>
      <w:r w:rsidR="003832AE" w:rsidRPr="00283C1D">
        <w:t xml:space="preserve"> </w:t>
      </w:r>
      <w:r w:rsidRPr="00283C1D">
        <w:t>Domestic Violence Evidence-in-Chief is often the primary or only piece of evidence in domestic and family violence cases, and so the outcome will usually turn on the fact-finder’s assessment of a complainant’s credibility</w:t>
      </w:r>
      <w:r w:rsidR="00A704DB">
        <w:t xml:space="preserve"> (</w:t>
      </w:r>
      <w:r w:rsidR="00A704DB" w:rsidRPr="00A704DB">
        <w:t>Roberts and Ormerod 2021</w:t>
      </w:r>
      <w:r w:rsidR="00A704DB">
        <w:t>)</w:t>
      </w:r>
      <w:r w:rsidRPr="00283C1D">
        <w:t xml:space="preserve">. However, there is limited understanding of whether the Emotional Victim Effect also shapes legal decision-makers’ perceptions and reasoning when the complainant’s evidence-in-chief is presented in the form of a recording. </w:t>
      </w:r>
      <w:r w:rsidRPr="00283C1D">
        <w:rPr>
          <w:lang w:val="en-AU"/>
        </w:rPr>
        <w:t>Moreover, jurors’ own emotional states shape how they evaluate evidence and make judgements</w:t>
      </w:r>
      <w:r w:rsidR="00FF506A">
        <w:rPr>
          <w:lang w:val="en-AU"/>
        </w:rPr>
        <w:t xml:space="preserve"> (</w:t>
      </w:r>
      <w:r w:rsidR="00FF506A" w:rsidRPr="00FF506A">
        <w:t>Georges, Wiener, and Keller 2013</w:t>
      </w:r>
      <w:r w:rsidR="00FF506A">
        <w:t xml:space="preserve">; </w:t>
      </w:r>
      <w:r w:rsidR="001D4499" w:rsidRPr="001D4499">
        <w:t>Nuñez et al. 2015</w:t>
      </w:r>
      <w:r w:rsidR="001D4499">
        <w:t>)</w:t>
      </w:r>
      <w:r w:rsidRPr="00283C1D">
        <w:rPr>
          <w:lang w:val="en-AU"/>
        </w:rPr>
        <w:t>, with compassion for the victim potentially explaining the effect of victim emotional demeanour on credibility judgements</w:t>
      </w:r>
      <w:r w:rsidR="007D74A2">
        <w:rPr>
          <w:lang w:val="en-AU"/>
        </w:rPr>
        <w:t xml:space="preserve"> (</w:t>
      </w:r>
      <w:r w:rsidR="007D74A2" w:rsidRPr="007D74A2">
        <w:t xml:space="preserve">Ask and </w:t>
      </w:r>
      <w:proofErr w:type="spellStart"/>
      <w:r w:rsidR="007D74A2" w:rsidRPr="007D74A2">
        <w:t>Landström</w:t>
      </w:r>
      <w:proofErr w:type="spellEnd"/>
      <w:r w:rsidR="007D74A2" w:rsidRPr="007D74A2">
        <w:t xml:space="preserve"> 2010</w:t>
      </w:r>
      <w:r w:rsidR="00E458A2">
        <w:t xml:space="preserve">; </w:t>
      </w:r>
      <w:proofErr w:type="spellStart"/>
      <w:r w:rsidR="00E458A2" w:rsidRPr="007D74A2">
        <w:t>Landström</w:t>
      </w:r>
      <w:proofErr w:type="spellEnd"/>
      <w:r w:rsidR="00E458A2">
        <w:t>, Ask and Sommar</w:t>
      </w:r>
      <w:r w:rsidR="00E458A2" w:rsidRPr="007D74A2">
        <w:t xml:space="preserve"> 201</w:t>
      </w:r>
      <w:r w:rsidR="00E458A2">
        <w:t>9</w:t>
      </w:r>
      <w:r w:rsidR="007D74A2">
        <w:t>)</w:t>
      </w:r>
      <w:r w:rsidRPr="00283C1D">
        <w:rPr>
          <w:lang w:val="en-AU"/>
        </w:rPr>
        <w:t>.</w:t>
      </w:r>
    </w:p>
    <w:p w14:paraId="01E62BF9" w14:textId="4715CCBE" w:rsidR="00997B0F" w:rsidRDefault="00283C1D" w:rsidP="00AA5AD8">
      <w:pPr>
        <w:pStyle w:val="Newparagraph"/>
        <w:spacing w:line="276" w:lineRule="auto"/>
        <w:jc w:val="both"/>
      </w:pPr>
      <w:r w:rsidRPr="00283C1D">
        <w:t xml:space="preserve">The article has three parts. The first section provides an overview of recorded complainant statements as a new form of evidence in Domestic and Family Violence cases, setting out the legal context, intended benefits, and some emerging concerns regarding their probative value and fairness. The second section focuses on the problem of emotionality, drawing on psychological research to examine, first, how complainant’s emotional expressions can shape </w:t>
      </w:r>
      <w:proofErr w:type="gramStart"/>
      <w:r w:rsidRPr="00283C1D">
        <w:t>fact-finders</w:t>
      </w:r>
      <w:proofErr w:type="gramEnd"/>
      <w:r w:rsidRPr="00283C1D">
        <w:t>’ perceptions of credibility and influence verdicts, and then, in the second part, how the emotional responses of viewers can also influence their decision-making. The final part considers how these issues are currently addressed – primarily through judicial instructions to juries – and proposes more evidence-based approaches to improve these directions, with the aim of promoting more rational and unbiased fact-finding in Domestic and Family Violence trials</w:t>
      </w:r>
      <w:r w:rsidR="007911FD">
        <w:t>.</w:t>
      </w:r>
    </w:p>
    <w:p w14:paraId="34E839FD" w14:textId="63325BE4" w:rsidR="00065550" w:rsidRDefault="00291C29" w:rsidP="00AA5AD8">
      <w:pPr>
        <w:pStyle w:val="Heading1"/>
        <w:spacing w:line="276" w:lineRule="auto"/>
        <w:jc w:val="both"/>
      </w:pPr>
      <w:r w:rsidRPr="00291C29">
        <w:lastRenderedPageBreak/>
        <w:t>Domestic Violence Evidence-in-Chief: A New Form of Evidence</w:t>
      </w:r>
    </w:p>
    <w:p w14:paraId="4F6C3D6D" w14:textId="47355C5F" w:rsidR="00183BA9" w:rsidRPr="00183BA9" w:rsidRDefault="00183BA9" w:rsidP="00AA5AD8">
      <w:pPr>
        <w:pStyle w:val="Paragraph"/>
        <w:spacing w:line="276" w:lineRule="auto"/>
        <w:jc w:val="both"/>
      </w:pPr>
      <w:r w:rsidRPr="00183BA9">
        <w:t>Video-recorded statements by complainants have become a critical part of prosecution cases in criminal proceedings for domestic and family violence offences, allowing statements recorded at the scene to be played as evidence-in-chief</w:t>
      </w:r>
      <w:r w:rsidR="00A002DF">
        <w:t xml:space="preserve"> (</w:t>
      </w:r>
      <w:r w:rsidR="00A002DF" w:rsidRPr="00A002DF">
        <w:t>Yeong and Poynton 2022</w:t>
      </w:r>
      <w:r w:rsidR="00A002DF">
        <w:t>)</w:t>
      </w:r>
      <w:r w:rsidRPr="00183BA9">
        <w:t>. Such practices have been increasingly adopted in jurisdictions across Australia and New Zealand</w:t>
      </w:r>
      <w:r w:rsidR="006025B4">
        <w:t xml:space="preserve"> (</w:t>
      </w:r>
      <w:r w:rsidR="006025B4" w:rsidRPr="006025B4">
        <w:t>Iliadis et al. 2024; Walton, Brooks, and Li 2021</w:t>
      </w:r>
      <w:r w:rsidR="006025B4">
        <w:t>)</w:t>
      </w:r>
      <w:r w:rsidRPr="00183BA9">
        <w:t>.</w:t>
      </w:r>
    </w:p>
    <w:p w14:paraId="067D6627" w14:textId="1A858C1D" w:rsidR="00183BA9" w:rsidRPr="00183BA9" w:rsidRDefault="00183BA9" w:rsidP="00AA5AD8">
      <w:pPr>
        <w:pStyle w:val="Newparagraph"/>
        <w:spacing w:line="276" w:lineRule="auto"/>
        <w:jc w:val="both"/>
      </w:pPr>
      <w:r w:rsidRPr="00183BA9">
        <w:t xml:space="preserve">Traditionally, statements </w:t>
      </w:r>
      <w:proofErr w:type="gramStart"/>
      <w:r w:rsidRPr="00183BA9">
        <w:t>made out of</w:t>
      </w:r>
      <w:proofErr w:type="gramEnd"/>
      <w:r w:rsidRPr="00183BA9">
        <w:t xml:space="preserve"> court would be excluded under the hearsay rule. However, in most jurisdictions, legislation has been enacted that enables the prosecution to rely on complainants’ audio- and video-recorded statements in Domestic and Family Violence cases</w:t>
      </w:r>
      <w:r w:rsidR="003A5286">
        <w:t xml:space="preserve"> (</w:t>
      </w:r>
      <w:r w:rsidR="003A5286" w:rsidRPr="003A5286">
        <w:t xml:space="preserve">Crimes </w:t>
      </w:r>
      <w:r w:rsidR="00B33B46">
        <w:t>(</w:t>
      </w:r>
      <w:r w:rsidR="003A5286" w:rsidRPr="003A5286">
        <w:t>Domestic and Family Violence</w:t>
      </w:r>
      <w:r w:rsidR="006E2431">
        <w:t>)</w:t>
      </w:r>
      <w:r w:rsidR="003A5286" w:rsidRPr="003A5286">
        <w:t xml:space="preserve"> Legislation Amendment Act 2015 </w:t>
      </w:r>
      <w:r w:rsidR="00B33B46">
        <w:t>(</w:t>
      </w:r>
      <w:r w:rsidR="003A5286" w:rsidRPr="003A5286">
        <w:t>ACT</w:t>
      </w:r>
      <w:r w:rsidR="006E2431">
        <w:t>)</w:t>
      </w:r>
      <w:r w:rsidR="003A5286" w:rsidRPr="003A5286">
        <w:t xml:space="preserve">, ss 77–81G; Criminal Procedure Amendment </w:t>
      </w:r>
      <w:r w:rsidR="00B33B46">
        <w:t>(</w:t>
      </w:r>
      <w:r w:rsidR="003A5286" w:rsidRPr="003A5286">
        <w:t>Domestic Violence Complainants</w:t>
      </w:r>
      <w:r w:rsidR="006E2431">
        <w:t>)</w:t>
      </w:r>
      <w:r w:rsidR="003A5286" w:rsidRPr="003A5286">
        <w:t xml:space="preserve"> Act 2014 </w:t>
      </w:r>
      <w:r w:rsidR="00B33B46">
        <w:t>(</w:t>
      </w:r>
      <w:r w:rsidR="003A5286" w:rsidRPr="003A5286">
        <w:t>NSW</w:t>
      </w:r>
      <w:r w:rsidR="006E2431">
        <w:t>)</w:t>
      </w:r>
      <w:r w:rsidR="003A5286" w:rsidRPr="003A5286">
        <w:t xml:space="preserve">, pt 4B; Justice Legislation Amendment </w:t>
      </w:r>
      <w:r w:rsidR="00B33B46">
        <w:t>(</w:t>
      </w:r>
      <w:r w:rsidR="003A5286" w:rsidRPr="003A5286">
        <w:t>Body-Worn Video and Domestic Violence Evidence</w:t>
      </w:r>
      <w:r w:rsidR="006E2431">
        <w:t>)</w:t>
      </w:r>
      <w:r w:rsidR="003A5286" w:rsidRPr="003A5286">
        <w:t xml:space="preserve"> Act 2017 </w:t>
      </w:r>
      <w:r w:rsidR="00B33B46">
        <w:t>(</w:t>
      </w:r>
      <w:r w:rsidR="003A5286" w:rsidRPr="003A5286">
        <w:t>NT</w:t>
      </w:r>
      <w:r w:rsidR="006E2431">
        <w:t>)</w:t>
      </w:r>
      <w:r w:rsidR="003A5286" w:rsidRPr="003A5286">
        <w:t xml:space="preserve">, pt 3A; Criminal Procedure Act 2009 </w:t>
      </w:r>
      <w:r w:rsidR="00B33B46">
        <w:t>(</w:t>
      </w:r>
      <w:r w:rsidR="003A5286" w:rsidRPr="003A5286">
        <w:t>Vic</w:t>
      </w:r>
      <w:r w:rsidR="006E2431">
        <w:t>)</w:t>
      </w:r>
      <w:r w:rsidR="003A5286" w:rsidRPr="003A5286">
        <w:t xml:space="preserve">, ss 387C–387N; Evidence Amendment Act 2016 </w:t>
      </w:r>
      <w:r w:rsidR="00B33B46">
        <w:t>(</w:t>
      </w:r>
      <w:r w:rsidR="003A5286" w:rsidRPr="003A5286">
        <w:t>NZ</w:t>
      </w:r>
      <w:r w:rsidR="006E2431">
        <w:t>)</w:t>
      </w:r>
      <w:r w:rsidR="003A5286" w:rsidRPr="003A5286">
        <w:t>, s 106</w:t>
      </w:r>
      <w:r w:rsidR="003A5286">
        <w:t>)</w:t>
      </w:r>
      <w:r w:rsidRPr="00183BA9">
        <w:t xml:space="preserve">. </w:t>
      </w:r>
      <w:r w:rsidRPr="00A662D1">
        <w:t xml:space="preserve">The first jurisdiction to enact such a reform was New South Wales, where, in 2015, the </w:t>
      </w:r>
      <w:r w:rsidRPr="00A662D1">
        <w:rPr>
          <w:lang w:val="en-AU"/>
        </w:rPr>
        <w:t>Criminal Procedure Amendment (Domestic Violence Complainants) Act 2014 (NSW)</w:t>
      </w:r>
      <w:r w:rsidRPr="00A662D1">
        <w:t xml:space="preserve"> inserted provisions in the </w:t>
      </w:r>
      <w:r w:rsidRPr="00A662D1">
        <w:rPr>
          <w:lang w:val="en-AU"/>
        </w:rPr>
        <w:t xml:space="preserve">Criminal Procedure Act 1986 (NSW) that </w:t>
      </w:r>
      <w:r w:rsidRPr="00A662D1">
        <w:t>enabled domestic violence complainants to give evidence-in-chief via police-recorded interviews</w:t>
      </w:r>
      <w:r w:rsidR="00527492">
        <w:t xml:space="preserve"> (</w:t>
      </w:r>
      <w:r w:rsidR="00527492" w:rsidRPr="00527492">
        <w:t xml:space="preserve">Criminal Procedure Amendment </w:t>
      </w:r>
      <w:r w:rsidR="00B33B46">
        <w:t>(</w:t>
      </w:r>
      <w:r w:rsidR="00527492" w:rsidRPr="00527492">
        <w:t>Domestic Violence Complainants</w:t>
      </w:r>
      <w:r w:rsidR="006E2431">
        <w:t>)</w:t>
      </w:r>
      <w:r w:rsidR="00527492" w:rsidRPr="00527492">
        <w:t xml:space="preserve"> Act 2014 </w:t>
      </w:r>
      <w:r w:rsidR="00B33B46">
        <w:t>(</w:t>
      </w:r>
      <w:r w:rsidR="00527492" w:rsidRPr="00527492">
        <w:t>NSW</w:t>
      </w:r>
      <w:r w:rsidR="006E2431">
        <w:t>)</w:t>
      </w:r>
      <w:r w:rsidR="00527492" w:rsidRPr="00527492">
        <w:t xml:space="preserve">, pt 4B; Criminal Procedure Act 1986 </w:t>
      </w:r>
      <w:r w:rsidR="00B33B46">
        <w:t>(</w:t>
      </w:r>
      <w:r w:rsidR="00527492" w:rsidRPr="00527492">
        <w:t>NSW</w:t>
      </w:r>
      <w:r w:rsidR="006E2431">
        <w:t>)</w:t>
      </w:r>
      <w:r w:rsidR="00527492">
        <w:t>)</w:t>
      </w:r>
      <w:r w:rsidRPr="00A662D1">
        <w:t>.</w:t>
      </w:r>
      <w:r w:rsidRPr="00183BA9">
        <w:t xml:space="preserve"> Similar provisions were later adopted in other Australian jurisdictions, including the Australian Capital Territory</w:t>
      </w:r>
      <w:r w:rsidR="00EE227F">
        <w:t xml:space="preserve"> </w:t>
      </w:r>
      <w:r w:rsidR="009B756E">
        <w:t>(</w:t>
      </w:r>
      <w:r w:rsidR="009B756E" w:rsidRPr="009B756E">
        <w:t xml:space="preserve">Crimes </w:t>
      </w:r>
      <w:r w:rsidR="00B33B46">
        <w:t>(</w:t>
      </w:r>
      <w:r w:rsidR="009B756E" w:rsidRPr="009B756E">
        <w:t>Domestic and Family Violence</w:t>
      </w:r>
      <w:r w:rsidR="006E2431">
        <w:t>)</w:t>
      </w:r>
      <w:r w:rsidR="009B756E" w:rsidRPr="009B756E">
        <w:t xml:space="preserve"> Legislation Amendment Act 2015 </w:t>
      </w:r>
      <w:r w:rsidR="00B33B46">
        <w:t>(</w:t>
      </w:r>
      <w:r w:rsidR="009B756E" w:rsidRPr="009B756E">
        <w:t>ACT</w:t>
      </w:r>
      <w:r w:rsidR="006E2431">
        <w:t>)</w:t>
      </w:r>
      <w:r w:rsidR="009B756E" w:rsidRPr="009B756E">
        <w:t>, ss 77</w:t>
      </w:r>
      <w:r w:rsidR="009B756E">
        <w:t>-</w:t>
      </w:r>
      <w:r w:rsidR="009B756E" w:rsidRPr="009B756E">
        <w:t>81G</w:t>
      </w:r>
      <w:r w:rsidR="009B756E">
        <w:t>)</w:t>
      </w:r>
      <w:r w:rsidRPr="00183BA9">
        <w:t xml:space="preserve">, the Northern Territory </w:t>
      </w:r>
      <w:r w:rsidR="00456D21">
        <w:t>(</w:t>
      </w:r>
      <w:r w:rsidR="00456D21" w:rsidRPr="00456D21">
        <w:t xml:space="preserve">Justice Legislation Amendment </w:t>
      </w:r>
      <w:r w:rsidR="00B33B46">
        <w:t>(</w:t>
      </w:r>
      <w:r w:rsidR="00456D21" w:rsidRPr="00456D21">
        <w:t>Body-Worn Video and Domestic Violence Evidence</w:t>
      </w:r>
      <w:r w:rsidR="006E2431">
        <w:t>)</w:t>
      </w:r>
      <w:r w:rsidR="00456D21" w:rsidRPr="00456D21">
        <w:t xml:space="preserve"> Act 2017 </w:t>
      </w:r>
      <w:r w:rsidR="00B33B46">
        <w:t>(</w:t>
      </w:r>
      <w:r w:rsidR="00456D21" w:rsidRPr="00456D21">
        <w:t>NT</w:t>
      </w:r>
      <w:r w:rsidR="006E2431">
        <w:t>)</w:t>
      </w:r>
      <w:r w:rsidR="00456D21" w:rsidRPr="00456D21">
        <w:t>, pt 3A</w:t>
      </w:r>
      <w:r w:rsidR="00456D21">
        <w:t>)</w:t>
      </w:r>
      <w:r w:rsidRPr="00183BA9">
        <w:t>, and Victoria</w:t>
      </w:r>
      <w:r w:rsidR="00EE227F">
        <w:t xml:space="preserve"> (</w:t>
      </w:r>
      <w:r w:rsidR="00EE227F" w:rsidRPr="00EE227F">
        <w:t xml:space="preserve">Criminal Procedure Act 2009 </w:t>
      </w:r>
      <w:r w:rsidR="00B33B46">
        <w:t>(</w:t>
      </w:r>
      <w:r w:rsidR="00EE227F" w:rsidRPr="00EE227F">
        <w:t>Vic</w:t>
      </w:r>
      <w:r w:rsidR="006E2431">
        <w:t>)</w:t>
      </w:r>
      <w:r w:rsidR="00EE227F" w:rsidRPr="00EE227F">
        <w:t>, ss 387C–387N)</w:t>
      </w:r>
      <w:r w:rsidRPr="00183BA9">
        <w:t>. In 2018, New Zealand also introduced Victim Video Statements, recorded at the scene of domestic violence incidents, to be used as evidence-in-chief</w:t>
      </w:r>
      <w:r w:rsidR="002F511F">
        <w:t xml:space="preserve"> </w:t>
      </w:r>
      <w:r w:rsidR="002F511F" w:rsidRPr="002F511F">
        <w:t xml:space="preserve">(Evidence Amendment Act 2016 </w:t>
      </w:r>
      <w:r w:rsidR="00B33B46">
        <w:t>(</w:t>
      </w:r>
      <w:r w:rsidR="002F511F" w:rsidRPr="002F511F">
        <w:t>NZ</w:t>
      </w:r>
      <w:r w:rsidR="006E2431">
        <w:t>)</w:t>
      </w:r>
      <w:r w:rsidR="002F511F" w:rsidRPr="002F511F">
        <w:t>, s 106)</w:t>
      </w:r>
      <w:r w:rsidRPr="00183BA9">
        <w:t>.</w:t>
      </w:r>
    </w:p>
    <w:p w14:paraId="13C49AB2" w14:textId="3D45F7CD" w:rsidR="00183BA9" w:rsidRPr="00183BA9" w:rsidRDefault="00183BA9" w:rsidP="00AA5AD8">
      <w:pPr>
        <w:pStyle w:val="Newparagraph"/>
        <w:spacing w:line="276" w:lineRule="auto"/>
        <w:jc w:val="both"/>
      </w:pPr>
      <w:r w:rsidRPr="00183BA9">
        <w:t xml:space="preserve">In New South Wales, legislation and police operational policies explicitly regulate the obtaining and use of Domestic Violence Evidence-in-Chief statements. Section </w:t>
      </w:r>
      <w:r w:rsidRPr="001E7AFD">
        <w:t xml:space="preserve">289D of the </w:t>
      </w:r>
      <w:r w:rsidRPr="001E7AFD">
        <w:rPr>
          <w:lang w:val="en-AU"/>
        </w:rPr>
        <w:t>Criminal Procedure Act 1986 (NSW) provides</w:t>
      </w:r>
      <w:r w:rsidRPr="00183BA9">
        <w:rPr>
          <w:lang w:val="en-AU"/>
        </w:rPr>
        <w:t xml:space="preserve"> that such </w:t>
      </w:r>
      <w:r w:rsidRPr="00183BA9">
        <w:t>a statement may be recorded only by a police officer, and only with the complainant’s informed consent. The recording must be made as soon as practicable after the alleged offence</w:t>
      </w:r>
      <w:r w:rsidR="0092050F">
        <w:t xml:space="preserve"> (</w:t>
      </w:r>
      <w:r w:rsidR="004F2E6F" w:rsidRPr="004F2E6F">
        <w:t xml:space="preserve">(Criminal Procedure Act 1986 </w:t>
      </w:r>
      <w:r w:rsidR="00B33B46">
        <w:t>(</w:t>
      </w:r>
      <w:r w:rsidR="004F2E6F" w:rsidRPr="004F2E6F">
        <w:t>NSW</w:t>
      </w:r>
      <w:r w:rsidR="006E2431">
        <w:t>)</w:t>
      </w:r>
      <w:r w:rsidR="00406D07">
        <w:t>,</w:t>
      </w:r>
      <w:r w:rsidR="005D35AB">
        <w:t xml:space="preserve"> s</w:t>
      </w:r>
      <w:r w:rsidR="00406D07">
        <w:t xml:space="preserve"> </w:t>
      </w:r>
      <w:r w:rsidR="004F2E6F" w:rsidRPr="004F2E6F">
        <w:t>289D</w:t>
      </w:r>
      <w:r w:rsidR="00B33B46">
        <w:t>(</w:t>
      </w:r>
      <w:r w:rsidR="004F2E6F" w:rsidRPr="004F2E6F">
        <w:t>b</w:t>
      </w:r>
      <w:r w:rsidR="006E2431">
        <w:t>)</w:t>
      </w:r>
      <w:r w:rsidR="00406D07">
        <w:t xml:space="preserve">). </w:t>
      </w:r>
      <w:r w:rsidRPr="00183BA9">
        <w:t xml:space="preserve">It may take the form of an interview consisting of questions </w:t>
      </w:r>
      <w:r w:rsidRPr="00406D07">
        <w:t>and answers</w:t>
      </w:r>
      <w:r w:rsidR="00406D07" w:rsidRPr="00406D07">
        <w:t xml:space="preserve"> (Criminal Procedure Act 1986 </w:t>
      </w:r>
      <w:r w:rsidR="00B33B46">
        <w:t>(</w:t>
      </w:r>
      <w:r w:rsidR="00406D07" w:rsidRPr="00406D07">
        <w:t>NSW</w:t>
      </w:r>
      <w:r w:rsidR="006E2431">
        <w:t>)</w:t>
      </w:r>
      <w:r w:rsidR="00406D07" w:rsidRPr="00406D07">
        <w:t>, ss 283</w:t>
      </w:r>
      <w:proofErr w:type="gramStart"/>
      <w:r w:rsidR="00406D07" w:rsidRPr="00406D07">
        <w:t>E</w:t>
      </w:r>
      <w:r w:rsidR="00B33B46">
        <w:t>(</w:t>
      </w:r>
      <w:proofErr w:type="gramEnd"/>
      <w:r w:rsidR="00406D07" w:rsidRPr="00406D07">
        <w:t>1</w:t>
      </w:r>
      <w:r w:rsidR="006E2431">
        <w:t>)</w:t>
      </w:r>
      <w:r w:rsidR="00406D07" w:rsidRPr="00406D07">
        <w:t>, 289</w:t>
      </w:r>
      <w:proofErr w:type="gramStart"/>
      <w:r w:rsidR="00406D07" w:rsidRPr="00406D07">
        <w:t>F</w:t>
      </w:r>
      <w:r w:rsidR="00B33B46">
        <w:t>(</w:t>
      </w:r>
      <w:proofErr w:type="gramEnd"/>
      <w:r w:rsidR="00406D07" w:rsidRPr="00406D07">
        <w:t>2</w:t>
      </w:r>
      <w:r w:rsidR="006E2431">
        <w:t>)</w:t>
      </w:r>
      <w:r w:rsidR="00406D07">
        <w:t>)</w:t>
      </w:r>
      <w:r w:rsidRPr="00183BA9">
        <w:t xml:space="preserve">. The Act also requires that, in the recorded statement, the complainant states their </w:t>
      </w:r>
      <w:proofErr w:type="gramStart"/>
      <w:r w:rsidRPr="00183BA9">
        <w:t>age, and</w:t>
      </w:r>
      <w:proofErr w:type="gramEnd"/>
      <w:r w:rsidRPr="00183BA9">
        <w:t xml:space="preserve"> affirms the truth of the representation</w:t>
      </w:r>
      <w:r w:rsidR="00756D3A">
        <w:t xml:space="preserve"> </w:t>
      </w:r>
      <w:r w:rsidR="00756D3A" w:rsidRPr="00406D07">
        <w:t xml:space="preserve">(Criminal Procedure Act 1986 </w:t>
      </w:r>
      <w:r w:rsidR="00B33B46">
        <w:t>(</w:t>
      </w:r>
      <w:r w:rsidR="00756D3A" w:rsidRPr="00406D07">
        <w:t>NSW</w:t>
      </w:r>
      <w:r w:rsidR="006E2431">
        <w:t>)</w:t>
      </w:r>
      <w:r w:rsidR="00756D3A" w:rsidRPr="00406D07">
        <w:t>, s 283</w:t>
      </w:r>
      <w:proofErr w:type="gramStart"/>
      <w:r w:rsidR="00756D3A" w:rsidRPr="00406D07">
        <w:t>E</w:t>
      </w:r>
      <w:r w:rsidR="006E2431">
        <w:t>(</w:t>
      </w:r>
      <w:proofErr w:type="gramEnd"/>
      <w:r w:rsidR="00756D3A">
        <w:t>2</w:t>
      </w:r>
      <w:r w:rsidR="006E2431">
        <w:t>)</w:t>
      </w:r>
      <w:r w:rsidR="00756D3A">
        <w:t>)</w:t>
      </w:r>
      <w:r w:rsidRPr="00183BA9">
        <w:t>. If the statement is fully or partly in a language other than English, it must either contain an English translation within the recording itself or be accompanied by a separate written English translation</w:t>
      </w:r>
      <w:r w:rsidR="00E50EC1">
        <w:t xml:space="preserve"> </w:t>
      </w:r>
      <w:r w:rsidR="00E50EC1" w:rsidRPr="00406D07">
        <w:t xml:space="preserve">(Criminal Procedure Act 1986 </w:t>
      </w:r>
      <w:r w:rsidR="006E2431">
        <w:t>(</w:t>
      </w:r>
      <w:r w:rsidR="00E50EC1" w:rsidRPr="00406D07">
        <w:t>NSW</w:t>
      </w:r>
      <w:r w:rsidR="006E2431">
        <w:t>)</w:t>
      </w:r>
      <w:r w:rsidR="00E50EC1" w:rsidRPr="00406D07">
        <w:t>, ss 283</w:t>
      </w:r>
      <w:proofErr w:type="gramStart"/>
      <w:r w:rsidR="00E50EC1" w:rsidRPr="00406D07">
        <w:t>E</w:t>
      </w:r>
      <w:r w:rsidR="006E2431">
        <w:t>(</w:t>
      </w:r>
      <w:proofErr w:type="gramEnd"/>
      <w:r w:rsidR="00E50EC1">
        <w:t>3</w:t>
      </w:r>
      <w:r w:rsidR="006E2431">
        <w:t>)</w:t>
      </w:r>
      <w:r w:rsidR="00E50EC1" w:rsidRPr="00406D07">
        <w:t>, 289</w:t>
      </w:r>
      <w:proofErr w:type="gramStart"/>
      <w:r w:rsidR="00E50EC1" w:rsidRPr="00406D07">
        <w:t>F</w:t>
      </w:r>
      <w:r w:rsidR="006E2431">
        <w:t>(</w:t>
      </w:r>
      <w:proofErr w:type="gramEnd"/>
      <w:r w:rsidR="00E50EC1">
        <w:t>4</w:t>
      </w:r>
      <w:r w:rsidR="006E2431">
        <w:t>)</w:t>
      </w:r>
      <w:r w:rsidR="00E50EC1">
        <w:t>).</w:t>
      </w:r>
      <w:r w:rsidRPr="00183BA9">
        <w:t xml:space="preserve"> Police officers must receive special training before being authorised to make the recordings</w:t>
      </w:r>
      <w:r w:rsidR="00DE30D7">
        <w:t xml:space="preserve"> (</w:t>
      </w:r>
      <w:r w:rsidR="00DE30D7" w:rsidRPr="00DE30D7">
        <w:t>Yeong and Poynton 2022</w:t>
      </w:r>
      <w:r w:rsidR="00DE30D7">
        <w:t>)</w:t>
      </w:r>
      <w:r w:rsidRPr="00183BA9">
        <w:t xml:space="preserve">. They are issued a detailed booklet that sets out questions they </w:t>
      </w:r>
      <w:proofErr w:type="gramStart"/>
      <w:r w:rsidRPr="00183BA9">
        <w:t>have to</w:t>
      </w:r>
      <w:proofErr w:type="gramEnd"/>
      <w:r w:rsidRPr="00183BA9">
        <w:t xml:space="preserve"> ask when interviewing complainants at the scene. It also suggests that, if possible, the interview should be limited to 15 minutes</w:t>
      </w:r>
      <w:r w:rsidR="00832611">
        <w:t xml:space="preserve"> (</w:t>
      </w:r>
      <w:r w:rsidR="00832611" w:rsidRPr="00832611">
        <w:t>Simpson 2024</w:t>
      </w:r>
      <w:r w:rsidR="00832611">
        <w:t>)</w:t>
      </w:r>
      <w:r w:rsidRPr="00183BA9">
        <w:t>.</w:t>
      </w:r>
    </w:p>
    <w:p w14:paraId="786F5ECD" w14:textId="49B51335" w:rsidR="00183BA9" w:rsidRPr="00183BA9" w:rsidRDefault="00183BA9" w:rsidP="00AA5AD8">
      <w:pPr>
        <w:pStyle w:val="Newparagraph"/>
        <w:spacing w:line="276" w:lineRule="auto"/>
        <w:jc w:val="both"/>
        <w:rPr>
          <w:i/>
          <w:iCs/>
          <w:lang w:val="en-AU"/>
        </w:rPr>
      </w:pPr>
      <w:r w:rsidRPr="00183BA9">
        <w:rPr>
          <w:lang w:val="en-AU"/>
        </w:rPr>
        <w:lastRenderedPageBreak/>
        <w:t>Before proceeding to trial, a prosecutor must consider several factors in deciding whether the complainant gives evidence orally or in the form of a recorded statement. These include the complainant’s preferences, any evidence of intimidation by the defendant, and the objectives of the Crimes (Domestic and Personal Violence) Act 2007</w:t>
      </w:r>
      <w:r w:rsidR="00ED7F2D">
        <w:rPr>
          <w:lang w:val="en-AU"/>
        </w:rPr>
        <w:t xml:space="preserve"> (</w:t>
      </w:r>
      <w:r w:rsidR="00ED7F2D" w:rsidRPr="00406D07">
        <w:t xml:space="preserve">Criminal Procedure Act 1986 </w:t>
      </w:r>
      <w:r w:rsidR="006E2431">
        <w:t>(</w:t>
      </w:r>
      <w:r w:rsidR="00ED7F2D" w:rsidRPr="00406D07">
        <w:t>NSW</w:t>
      </w:r>
      <w:r w:rsidR="006E2431">
        <w:t>)</w:t>
      </w:r>
      <w:r w:rsidR="00ED7F2D" w:rsidRPr="00406D07">
        <w:t>, s 283</w:t>
      </w:r>
      <w:r w:rsidR="00ED7F2D">
        <w:t>G)</w:t>
      </w:r>
      <w:r w:rsidRPr="00183BA9">
        <w:rPr>
          <w:lang w:val="en-AU"/>
        </w:rPr>
        <w:t xml:space="preserve">, which aim to ensure the safety and protection of all victims and witnesses </w:t>
      </w:r>
      <w:r w:rsidRPr="00ED7F2D">
        <w:rPr>
          <w:lang w:val="en-AU"/>
        </w:rPr>
        <w:t>of domestic violence, and to reduce and prevent violence between people in a domestic relationship</w:t>
      </w:r>
      <w:r w:rsidR="00ED7F2D" w:rsidRPr="00ED7F2D">
        <w:rPr>
          <w:lang w:val="en-AU"/>
        </w:rPr>
        <w:t xml:space="preserve"> (</w:t>
      </w:r>
      <w:r w:rsidR="00ED7F2D" w:rsidRPr="00ED7F2D">
        <w:rPr>
          <w:color w:val="000000" w:themeColor="text1"/>
        </w:rPr>
        <w:t xml:space="preserve">Crimes </w:t>
      </w:r>
      <w:r w:rsidR="006E2431">
        <w:rPr>
          <w:color w:val="000000" w:themeColor="text1"/>
        </w:rPr>
        <w:t>(</w:t>
      </w:r>
      <w:r w:rsidR="00ED7F2D" w:rsidRPr="00ED7F2D">
        <w:rPr>
          <w:color w:val="000000" w:themeColor="text1"/>
        </w:rPr>
        <w:t>Domestic and Personal Violence</w:t>
      </w:r>
      <w:r w:rsidR="006E2431">
        <w:rPr>
          <w:color w:val="000000" w:themeColor="text1"/>
        </w:rPr>
        <w:t>)</w:t>
      </w:r>
      <w:r w:rsidR="00ED7F2D" w:rsidRPr="00ED7F2D">
        <w:rPr>
          <w:color w:val="000000" w:themeColor="text1"/>
        </w:rPr>
        <w:t xml:space="preserve"> Act 2007 </w:t>
      </w:r>
      <w:r w:rsidR="006E2431">
        <w:rPr>
          <w:color w:val="000000" w:themeColor="text1"/>
        </w:rPr>
        <w:t>(</w:t>
      </w:r>
      <w:r w:rsidR="00ED7F2D" w:rsidRPr="00ED7F2D">
        <w:rPr>
          <w:color w:val="000000" w:themeColor="text1"/>
        </w:rPr>
        <w:t>NSW</w:t>
      </w:r>
      <w:r w:rsidR="006E2431">
        <w:rPr>
          <w:color w:val="000000" w:themeColor="text1"/>
        </w:rPr>
        <w:t>)</w:t>
      </w:r>
      <w:r w:rsidR="00ED7F2D" w:rsidRPr="00ED7F2D">
        <w:rPr>
          <w:color w:val="000000" w:themeColor="text1"/>
        </w:rPr>
        <w:t xml:space="preserve"> s 9)</w:t>
      </w:r>
      <w:r w:rsidRPr="00ED7F2D">
        <w:rPr>
          <w:lang w:val="en-AU"/>
        </w:rPr>
        <w:t>. The recording</w:t>
      </w:r>
      <w:r w:rsidRPr="00183BA9">
        <w:rPr>
          <w:lang w:val="en-AU"/>
        </w:rPr>
        <w:t xml:space="preserve"> may be played in court and serve fully or partly as the complainant evidence-in-chief</w:t>
      </w:r>
      <w:r w:rsidR="00ED7F2D">
        <w:rPr>
          <w:lang w:val="en-AU"/>
        </w:rPr>
        <w:t xml:space="preserve"> (</w:t>
      </w:r>
      <w:r w:rsidR="00ED7F2D" w:rsidRPr="00ED7F2D">
        <w:rPr>
          <w:color w:val="000000" w:themeColor="text1"/>
        </w:rPr>
        <w:t xml:space="preserve">Crimes </w:t>
      </w:r>
      <w:r w:rsidR="006E2431">
        <w:rPr>
          <w:color w:val="000000" w:themeColor="text1"/>
        </w:rPr>
        <w:t>(</w:t>
      </w:r>
      <w:r w:rsidR="00ED7F2D" w:rsidRPr="00ED7F2D">
        <w:rPr>
          <w:color w:val="000000" w:themeColor="text1"/>
        </w:rPr>
        <w:t>Domestic and Personal Violence</w:t>
      </w:r>
      <w:r w:rsidR="006E2431">
        <w:rPr>
          <w:color w:val="000000" w:themeColor="text1"/>
        </w:rPr>
        <w:t>)</w:t>
      </w:r>
      <w:r w:rsidR="00ED7F2D" w:rsidRPr="00ED7F2D">
        <w:rPr>
          <w:color w:val="000000" w:themeColor="text1"/>
        </w:rPr>
        <w:t xml:space="preserve"> Act 2007 </w:t>
      </w:r>
      <w:r w:rsidR="006E2431">
        <w:rPr>
          <w:color w:val="000000" w:themeColor="text1"/>
        </w:rPr>
        <w:t>(</w:t>
      </w:r>
      <w:r w:rsidR="00ED7F2D" w:rsidRPr="00ED7F2D">
        <w:rPr>
          <w:color w:val="000000" w:themeColor="text1"/>
        </w:rPr>
        <w:t>NSW</w:t>
      </w:r>
      <w:r w:rsidR="006E2431">
        <w:rPr>
          <w:color w:val="000000" w:themeColor="text1"/>
        </w:rPr>
        <w:t>)</w:t>
      </w:r>
      <w:r w:rsidR="00ED7F2D" w:rsidRPr="00ED7F2D">
        <w:rPr>
          <w:color w:val="000000" w:themeColor="text1"/>
        </w:rPr>
        <w:t xml:space="preserve"> s </w:t>
      </w:r>
      <w:r w:rsidR="005F6449">
        <w:rPr>
          <w:color w:val="000000" w:themeColor="text1"/>
        </w:rPr>
        <w:t>28</w:t>
      </w:r>
      <w:r w:rsidR="00ED7F2D" w:rsidRPr="00ED7F2D">
        <w:rPr>
          <w:color w:val="000000" w:themeColor="text1"/>
        </w:rPr>
        <w:t>9</w:t>
      </w:r>
      <w:proofErr w:type="gramStart"/>
      <w:r w:rsidR="005F5EF6">
        <w:rPr>
          <w:color w:val="000000" w:themeColor="text1"/>
        </w:rPr>
        <w:t>F</w:t>
      </w:r>
      <w:r w:rsidR="006E2431">
        <w:rPr>
          <w:color w:val="000000" w:themeColor="text1"/>
        </w:rPr>
        <w:t>(</w:t>
      </w:r>
      <w:proofErr w:type="gramEnd"/>
      <w:r w:rsidR="005F5EF6">
        <w:rPr>
          <w:color w:val="000000" w:themeColor="text1"/>
        </w:rPr>
        <w:t>1</w:t>
      </w:r>
      <w:r w:rsidR="006E2431">
        <w:rPr>
          <w:color w:val="000000" w:themeColor="text1"/>
        </w:rPr>
        <w:t>)</w:t>
      </w:r>
      <w:r w:rsidR="00ED7F2D" w:rsidRPr="00ED7F2D">
        <w:rPr>
          <w:color w:val="000000" w:themeColor="text1"/>
        </w:rPr>
        <w:t>)</w:t>
      </w:r>
      <w:r w:rsidRPr="00183BA9">
        <w:rPr>
          <w:lang w:val="en-AU"/>
        </w:rPr>
        <w:t>. In jury trials, a transcript of the recorded statement may be provided to the jury if it would help their understanding</w:t>
      </w:r>
      <w:r w:rsidR="005F5EF6">
        <w:rPr>
          <w:lang w:val="en-AU"/>
        </w:rPr>
        <w:t xml:space="preserve"> (</w:t>
      </w:r>
      <w:r w:rsidR="005F5EF6" w:rsidRPr="00ED7F2D">
        <w:rPr>
          <w:color w:val="000000" w:themeColor="text1"/>
        </w:rPr>
        <w:t xml:space="preserve">Crimes </w:t>
      </w:r>
      <w:r w:rsidR="006E2431">
        <w:rPr>
          <w:color w:val="000000" w:themeColor="text1"/>
        </w:rPr>
        <w:t>(</w:t>
      </w:r>
      <w:r w:rsidR="005F5EF6" w:rsidRPr="00ED7F2D">
        <w:rPr>
          <w:color w:val="000000" w:themeColor="text1"/>
        </w:rPr>
        <w:t>Domestic and Personal Violence</w:t>
      </w:r>
      <w:r w:rsidR="006E2431">
        <w:rPr>
          <w:color w:val="000000" w:themeColor="text1"/>
        </w:rPr>
        <w:t>)</w:t>
      </w:r>
      <w:r w:rsidR="005F5EF6" w:rsidRPr="00ED7F2D">
        <w:rPr>
          <w:color w:val="000000" w:themeColor="text1"/>
        </w:rPr>
        <w:t xml:space="preserve"> Act 2007 </w:t>
      </w:r>
      <w:r w:rsidR="006E2431">
        <w:rPr>
          <w:color w:val="000000" w:themeColor="text1"/>
        </w:rPr>
        <w:t>(</w:t>
      </w:r>
      <w:r w:rsidR="005F5EF6" w:rsidRPr="00ED7F2D">
        <w:rPr>
          <w:color w:val="000000" w:themeColor="text1"/>
        </w:rPr>
        <w:t>NSW</w:t>
      </w:r>
      <w:r w:rsidR="006E2431">
        <w:rPr>
          <w:color w:val="000000" w:themeColor="text1"/>
        </w:rPr>
        <w:t>)</w:t>
      </w:r>
      <w:r w:rsidR="005F5EF6" w:rsidRPr="00ED7F2D">
        <w:rPr>
          <w:color w:val="000000" w:themeColor="text1"/>
        </w:rPr>
        <w:t xml:space="preserve"> s </w:t>
      </w:r>
      <w:r w:rsidR="005F5EF6">
        <w:rPr>
          <w:color w:val="000000" w:themeColor="text1"/>
        </w:rPr>
        <w:t>28</w:t>
      </w:r>
      <w:r w:rsidR="005F5EF6" w:rsidRPr="00ED7F2D">
        <w:rPr>
          <w:color w:val="000000" w:themeColor="text1"/>
        </w:rPr>
        <w:t>9</w:t>
      </w:r>
      <w:r w:rsidR="005F5EF6">
        <w:rPr>
          <w:color w:val="000000" w:themeColor="text1"/>
        </w:rPr>
        <w:t>K</w:t>
      </w:r>
      <w:r w:rsidR="005F5EF6" w:rsidRPr="00ED7F2D">
        <w:rPr>
          <w:color w:val="000000" w:themeColor="text1"/>
        </w:rPr>
        <w:t>)</w:t>
      </w:r>
      <w:r w:rsidRPr="00183BA9">
        <w:rPr>
          <w:lang w:val="en-AU"/>
        </w:rPr>
        <w:t>.</w:t>
      </w:r>
    </w:p>
    <w:p w14:paraId="6394CAE4" w14:textId="14724711" w:rsidR="00183BA9" w:rsidRPr="00183BA9" w:rsidRDefault="00183BA9" w:rsidP="00AA5AD8">
      <w:pPr>
        <w:pStyle w:val="Newparagraph"/>
        <w:spacing w:line="276" w:lineRule="auto"/>
        <w:jc w:val="both"/>
        <w:rPr>
          <w:lang w:val="en-US"/>
        </w:rPr>
      </w:pPr>
      <w:r w:rsidRPr="00183BA9">
        <w:rPr>
          <w:lang w:val="en-AU"/>
        </w:rPr>
        <w:t xml:space="preserve">One of the central aims of these reforms was to address barriers to effective justice in Domestic and Family Violence cases, such as the re-traumatisation complainants often face from </w:t>
      </w:r>
      <w:r w:rsidRPr="00183BA9">
        <w:t>having to confront their alleged abuser in court while still recovering from prior trauma</w:t>
      </w:r>
      <w:r w:rsidR="005F5EF6">
        <w:t xml:space="preserve"> (</w:t>
      </w:r>
      <w:proofErr w:type="spellStart"/>
      <w:r w:rsidR="005F5EF6" w:rsidRPr="005F5EF6">
        <w:t>Katirai</w:t>
      </w:r>
      <w:proofErr w:type="spellEnd"/>
      <w:r w:rsidR="005F5EF6" w:rsidRPr="005F5EF6">
        <w:t xml:space="preserve"> 2020</w:t>
      </w:r>
      <w:r w:rsidR="005F5EF6">
        <w:t>)</w:t>
      </w:r>
      <w:r w:rsidRPr="00183BA9">
        <w:t>. The introduction of Domestic Violence Evidence-in-Chief allows complainants to give their statement via recorded video, reducing the need for in-person testimony during the evidence-in-chief phase and thereby limiting both the trauma associated with giving evidence in front of defendants</w:t>
      </w:r>
      <w:r w:rsidR="00165B9B">
        <w:t xml:space="preserve">, </w:t>
      </w:r>
      <w:r w:rsidRPr="00183BA9">
        <w:t>and the risk of intimidation by the defendant</w:t>
      </w:r>
      <w:r w:rsidR="00165B9B">
        <w:t xml:space="preserve"> (</w:t>
      </w:r>
      <w:r w:rsidR="00165B9B" w:rsidRPr="00E631C8">
        <w:t>NSW Police 2025; Women’s Legal Service NSW 2025</w:t>
      </w:r>
      <w:r w:rsidR="00165B9B">
        <w:t>)</w:t>
      </w:r>
      <w:r w:rsidRPr="00183BA9">
        <w:t>. However, complainants may still be required to attend court for cross-examination or re-examination and may therefore still have to face the accused at trial</w:t>
      </w:r>
      <w:r w:rsidR="00165B9B">
        <w:t xml:space="preserve"> </w:t>
      </w:r>
      <w:r w:rsidR="00165B9B">
        <w:rPr>
          <w:lang w:val="en-AU"/>
        </w:rPr>
        <w:t>(</w:t>
      </w:r>
      <w:r w:rsidR="00165B9B" w:rsidRPr="00406D07">
        <w:t xml:space="preserve">Criminal Procedure Act 1986 </w:t>
      </w:r>
      <w:r w:rsidR="00763D95">
        <w:t>(</w:t>
      </w:r>
      <w:r w:rsidR="00165B9B" w:rsidRPr="00406D07">
        <w:t>NSW</w:t>
      </w:r>
      <w:r w:rsidR="00763D95">
        <w:t>)</w:t>
      </w:r>
      <w:r w:rsidR="00165B9B" w:rsidRPr="00406D07">
        <w:t>, s 283</w:t>
      </w:r>
      <w:proofErr w:type="gramStart"/>
      <w:r w:rsidR="00165B9B">
        <w:t>F</w:t>
      </w:r>
      <w:r w:rsidR="00763D95">
        <w:t>(</w:t>
      </w:r>
      <w:proofErr w:type="gramEnd"/>
      <w:r w:rsidR="00165B9B">
        <w:t>5</w:t>
      </w:r>
      <w:r w:rsidR="00763D95">
        <w:t>)</w:t>
      </w:r>
      <w:r w:rsidR="00165B9B">
        <w:t>)</w:t>
      </w:r>
      <w:r w:rsidRPr="00183BA9">
        <w:t>.</w:t>
      </w:r>
    </w:p>
    <w:p w14:paraId="4A4C97DB" w14:textId="77777777" w:rsidR="00645E1A" w:rsidRDefault="00183BA9" w:rsidP="00763D95">
      <w:pPr>
        <w:pStyle w:val="Newparagraph"/>
        <w:spacing w:line="276" w:lineRule="auto"/>
        <w:jc w:val="both"/>
        <w:sectPr w:rsidR="00645E1A" w:rsidSect="00074B81">
          <w:footerReference w:type="even" r:id="rId12"/>
          <w:footerReference w:type="default" r:id="rId13"/>
          <w:pgSz w:w="11901" w:h="16840" w:code="9"/>
          <w:pgMar w:top="1418" w:right="1701" w:bottom="1418" w:left="1701" w:header="709" w:footer="709" w:gutter="0"/>
          <w:cols w:space="708"/>
          <w:docGrid w:linePitch="360"/>
        </w:sectPr>
      </w:pPr>
      <w:r w:rsidRPr="00183BA9">
        <w:rPr>
          <w:lang w:val="en-AU"/>
        </w:rPr>
        <w:t xml:space="preserve">Furthermore, as </w:t>
      </w:r>
      <w:r w:rsidR="000834D0">
        <w:rPr>
          <w:lang w:val="en-AU"/>
        </w:rPr>
        <w:t xml:space="preserve">with </w:t>
      </w:r>
      <w:r w:rsidRPr="00183BA9">
        <w:rPr>
          <w:lang w:val="en-AU"/>
        </w:rPr>
        <w:t>written statements, a video-recorded statement enables a prosecution to proceed where a complainant declines to support it</w:t>
      </w:r>
      <w:r w:rsidR="008C4B12">
        <w:rPr>
          <w:lang w:val="en-AU"/>
        </w:rPr>
        <w:t xml:space="preserve"> (</w:t>
      </w:r>
      <w:proofErr w:type="spellStart"/>
      <w:r w:rsidR="008C4B12" w:rsidRPr="008C4B12">
        <w:t>Westera</w:t>
      </w:r>
      <w:proofErr w:type="spellEnd"/>
      <w:r w:rsidR="008C4B12" w:rsidRPr="008C4B12">
        <w:t xml:space="preserve"> and Powell 2015</w:t>
      </w:r>
      <w:r w:rsidR="008C4B12">
        <w:t>)</w:t>
      </w:r>
      <w:r w:rsidRPr="00183BA9">
        <w:t>.</w:t>
      </w:r>
    </w:p>
    <w:p w14:paraId="5E3886BC" w14:textId="7BC879FE" w:rsidR="00645E1A" w:rsidRPr="008029DC" w:rsidRDefault="00645E1A" w:rsidP="00763D95">
      <w:pPr>
        <w:pStyle w:val="Newparagraph"/>
        <w:spacing w:line="276" w:lineRule="auto"/>
        <w:jc w:val="both"/>
        <w:rPr>
          <w:sz w:val="20"/>
          <w:szCs w:val="20"/>
        </w:rPr>
      </w:pPr>
      <w:r>
        <w:rPr>
          <w:rStyle w:val="EndnoteReference"/>
        </w:rPr>
        <w:endnoteReference w:id="1"/>
      </w:r>
      <w:r>
        <w:rPr>
          <w:sz w:val="20"/>
          <w:szCs w:val="20"/>
        </w:rPr>
        <w:t xml:space="preserve"> </w:t>
      </w:r>
      <w:r w:rsidRPr="00183BA9">
        <w:rPr>
          <w:lang w:val="en-AU"/>
        </w:rPr>
        <w:t>Importantly, Domestic Violence Evidence-in-Chief has been shown to increase the probability of both convictions and guilty pleas in Domestic and Family Violence cases</w:t>
      </w:r>
      <w:r>
        <w:rPr>
          <w:lang w:val="en-AU"/>
        </w:rPr>
        <w:t xml:space="preserve"> (</w:t>
      </w:r>
      <w:r w:rsidRPr="00DB1874">
        <w:t>Yeong and Poynton 2023</w:t>
      </w:r>
      <w:r>
        <w:t>)</w:t>
      </w:r>
      <w:r w:rsidRPr="00183BA9">
        <w:rPr>
          <w:lang w:val="en-AU"/>
        </w:rPr>
        <w:t>. Evidence from New Zealand similarly suggests that Victim Video Statements may increase the likelihood of an early guilty plea</w:t>
      </w:r>
      <w:r>
        <w:rPr>
          <w:lang w:val="en-AU"/>
        </w:rPr>
        <w:t xml:space="preserve"> </w:t>
      </w:r>
      <w:r w:rsidRPr="00115B1E">
        <w:t>(Walton, Brooks, and Li 2021</w:t>
      </w:r>
      <w:r>
        <w:t>)</w:t>
      </w:r>
      <w:r w:rsidRPr="00183BA9">
        <w:rPr>
          <w:lang w:val="en-AU"/>
        </w:rPr>
        <w:t>.</w:t>
      </w:r>
    </w:p>
    <w:p w14:paraId="3995C871" w14:textId="2EEBCA50" w:rsidR="00645E1A" w:rsidRPr="00183BA9" w:rsidRDefault="00645E1A" w:rsidP="00AA5AD8">
      <w:pPr>
        <w:pStyle w:val="Newparagraph"/>
        <w:spacing w:line="276" w:lineRule="auto"/>
        <w:jc w:val="both"/>
      </w:pPr>
      <w:r w:rsidRPr="00183BA9">
        <w:t>Another benefit of recorded statements is their potential to preserve the complainant’s account at a time when their memory is still fresh, reducing the risk of later memory deterioration or distortion</w:t>
      </w:r>
      <w:r>
        <w:t xml:space="preserve"> (</w:t>
      </w:r>
      <w:r w:rsidRPr="009E0681">
        <w:t>Roberts and Ormerod 2021</w:t>
      </w:r>
      <w:r>
        <w:t>)</w:t>
      </w:r>
      <w:r w:rsidRPr="00183BA9">
        <w:t>. While written statements are also typically taken during investigations and can be used to refresh a witness’ memory at trial</w:t>
      </w:r>
      <w:r>
        <w:t xml:space="preserve"> (</w:t>
      </w:r>
      <w:r w:rsidRPr="009E0681">
        <w:t>Roberts and Ormerod 2021</w:t>
      </w:r>
      <w:r>
        <w:t>)</w:t>
      </w:r>
      <w:r w:rsidRPr="00183BA9">
        <w:t>, recorded interviews capture not only the complainant’s responses, but also the specific questions asked by police.</w:t>
      </w:r>
      <w:r w:rsidRPr="00183BA9">
        <w:rPr>
          <w:vertAlign w:val="superscript"/>
        </w:rPr>
        <w:t xml:space="preserve"> </w:t>
      </w:r>
      <w:r w:rsidRPr="00183BA9">
        <w:t>This can offer a more complete and transparent account of the interaction, providing a clearer view of how statements were elicited (including aspects such as police conduct and adherence to procedure)</w:t>
      </w:r>
      <w:r>
        <w:t xml:space="preserve"> (</w:t>
      </w:r>
      <w:r w:rsidRPr="00035E37">
        <w:t>Simpson 2025</w:t>
      </w:r>
      <w:r>
        <w:t>; Roberts and Ormerod 2021)</w:t>
      </w:r>
      <w:r w:rsidRPr="00183BA9">
        <w:t>.</w:t>
      </w:r>
      <w:r w:rsidRPr="00183BA9">
        <w:rPr>
          <w:vertAlign w:val="superscript"/>
        </w:rPr>
        <w:t xml:space="preserve"> </w:t>
      </w:r>
      <w:r w:rsidRPr="00183BA9">
        <w:t>However, as the recordings are produced and directed by police, they still reflect a mediated version of the complainant’s story, shaped by what is asked, how it is asked, and what is included and excluded in the recording</w:t>
      </w:r>
      <w:r>
        <w:t xml:space="preserve"> (</w:t>
      </w:r>
      <w:r w:rsidRPr="00035E37">
        <w:t>Simpson 2025</w:t>
      </w:r>
      <w:r>
        <w:t>)</w:t>
      </w:r>
      <w:r w:rsidRPr="00183BA9">
        <w:t xml:space="preserve">. </w:t>
      </w:r>
    </w:p>
    <w:p w14:paraId="42377157" w14:textId="0B0ECF63" w:rsidR="00645E1A" w:rsidRPr="00183BA9" w:rsidRDefault="00645E1A" w:rsidP="00AA5AD8">
      <w:pPr>
        <w:pStyle w:val="Newparagraph"/>
        <w:spacing w:line="276" w:lineRule="auto"/>
        <w:jc w:val="both"/>
      </w:pPr>
      <w:r w:rsidRPr="00183BA9">
        <w:lastRenderedPageBreak/>
        <w:t xml:space="preserve">Despite these limitations, video-recorded statements are often perceived </w:t>
      </w:r>
      <w:r w:rsidRPr="00183BA9">
        <w:rPr>
          <w:lang w:val="en-AU"/>
        </w:rPr>
        <w:t>to be inherently more objective and accurate than written police reports</w:t>
      </w:r>
      <w:r>
        <w:rPr>
          <w:lang w:val="en-AU"/>
        </w:rPr>
        <w:t xml:space="preserve"> </w:t>
      </w:r>
      <w:r w:rsidRPr="00B43347">
        <w:t>(Jones, Crozier, and Strange 2017)</w:t>
      </w:r>
      <w:r w:rsidRPr="00183BA9">
        <w:rPr>
          <w:lang w:val="en-AU"/>
        </w:rPr>
        <w:t>. Their vivid audio-visual details and emotive impact offer an apparently objective first-person account that presents compelling evidence to triers of fact</w:t>
      </w:r>
      <w:r>
        <w:rPr>
          <w:lang w:val="en-AU"/>
        </w:rPr>
        <w:t xml:space="preserve"> </w:t>
      </w:r>
      <w:r w:rsidRPr="00EB018C">
        <w:t>(Pezdek 2020</w:t>
      </w:r>
      <w:r>
        <w:t>)</w:t>
      </w:r>
      <w:r w:rsidRPr="00183BA9">
        <w:rPr>
          <w:lang w:val="en-AU"/>
        </w:rPr>
        <w:t>.</w:t>
      </w:r>
      <w:r w:rsidRPr="00183BA9">
        <w:rPr>
          <w:vertAlign w:val="superscript"/>
          <w:lang w:val="en-AU"/>
        </w:rPr>
        <w:t xml:space="preserve"> </w:t>
      </w:r>
      <w:r w:rsidRPr="00183BA9">
        <w:rPr>
          <w:lang w:val="en-AU"/>
        </w:rPr>
        <w:t>For instance, studies suggest that police and prosecutors tend to</w:t>
      </w:r>
      <w:r w:rsidRPr="00183BA9">
        <w:t xml:space="preserve"> treat these recordings as closer to the truth than testimony</w:t>
      </w:r>
      <w:r>
        <w:t xml:space="preserve"> </w:t>
      </w:r>
      <w:r w:rsidRPr="00382D70">
        <w:t>(Moore and Singh 2018</w:t>
      </w:r>
      <w:proofErr w:type="gramStart"/>
      <w:r>
        <w:t>)</w:t>
      </w:r>
      <w:r w:rsidRPr="00183BA9">
        <w:t>, and</w:t>
      </w:r>
      <w:proofErr w:type="gramEnd"/>
      <w:r w:rsidRPr="00183BA9">
        <w:t xml:space="preserve"> </w:t>
      </w:r>
      <w:r w:rsidRPr="00183BA9">
        <w:rPr>
          <w:lang w:val="en-AU"/>
        </w:rPr>
        <w:t>prefer them due to the ability to capture the raw emotion of events</w:t>
      </w:r>
      <w:r>
        <w:rPr>
          <w:lang w:val="en-AU"/>
        </w:rPr>
        <w:t xml:space="preserve"> (</w:t>
      </w:r>
      <w:r w:rsidRPr="007221EE">
        <w:t>McCulloch et al. 2019</w:t>
      </w:r>
      <w:r>
        <w:t>)</w:t>
      </w:r>
      <w:r w:rsidRPr="00183BA9">
        <w:rPr>
          <w:lang w:val="en-AU"/>
        </w:rPr>
        <w:t>.</w:t>
      </w:r>
      <w:r w:rsidRPr="00183BA9">
        <w:t xml:space="preserve"> However, this same vividness and emotional salience may compromise the objectivity that recorded statements are presumed to provide. Triers of fact may respond more to the complainant’s emotional display than to the factual content of their account, potentially introducing bias into their credibility assessments and decision-making</w:t>
      </w:r>
      <w:r>
        <w:t xml:space="preserve"> </w:t>
      </w:r>
      <w:r w:rsidRPr="00DB6987">
        <w:t>(Kaufmann et al. 2003</w:t>
      </w:r>
      <w:r>
        <w:t>)</w:t>
      </w:r>
      <w:r w:rsidRPr="00183BA9">
        <w:t>. The extent to which such emotional biases influence the interpretation of recorded evidence, and undermine the aim of rational fact-finding, remains unclear</w:t>
      </w:r>
      <w:r>
        <w:t xml:space="preserve"> (</w:t>
      </w:r>
      <w:r w:rsidRPr="004E4D90">
        <w:t>Jones, Crozier, and Strange 2017</w:t>
      </w:r>
      <w:r>
        <w:t>)</w:t>
      </w:r>
      <w:r w:rsidRPr="00183BA9">
        <w:t>. The next section will consider the role of emotionality in recorded statements – both displayed by the complainant and evoked in viewers – and its potential impact on legal decision-making.</w:t>
      </w:r>
    </w:p>
    <w:p w14:paraId="0D9DDF85" w14:textId="0627E8CC" w:rsidR="00645E1A" w:rsidRPr="000A0F5E" w:rsidRDefault="00645E1A" w:rsidP="00AA5AD8">
      <w:pPr>
        <w:pStyle w:val="Heading1"/>
        <w:spacing w:before="240" w:line="276" w:lineRule="auto"/>
        <w:jc w:val="both"/>
      </w:pPr>
      <w:r>
        <w:t>The Problem of Emotionality</w:t>
      </w:r>
    </w:p>
    <w:p w14:paraId="063792A8" w14:textId="078624FE" w:rsidR="00645E1A" w:rsidRDefault="00645E1A" w:rsidP="00AA5AD8">
      <w:pPr>
        <w:pStyle w:val="Paragraph"/>
        <w:spacing w:line="276" w:lineRule="auto"/>
        <w:jc w:val="both"/>
      </w:pPr>
      <w:r w:rsidRPr="005912AD">
        <w:t xml:space="preserve">The law of evidence </w:t>
      </w:r>
      <w:r>
        <w:t>limits</w:t>
      </w:r>
      <w:r w:rsidRPr="005912AD">
        <w:t xml:space="preserve"> the </w:t>
      </w:r>
      <w:r>
        <w:t>admissibility</w:t>
      </w:r>
      <w:r w:rsidRPr="005912AD">
        <w:t xml:space="preserve"> of </w:t>
      </w:r>
      <w:r>
        <w:t xml:space="preserve">‘credibility evidence’, which refers to </w:t>
      </w:r>
      <w:r w:rsidRPr="005912AD">
        <w:t>evidence relevant only to assess</w:t>
      </w:r>
      <w:r>
        <w:t xml:space="preserve">ment of the </w:t>
      </w:r>
      <w:r w:rsidRPr="005912AD">
        <w:t>credibility of a witness</w:t>
      </w:r>
      <w:r>
        <w:t xml:space="preserve">, or to credibility and another purpose but inadmissible for that other purpose </w:t>
      </w:r>
      <w:r w:rsidRPr="00361921">
        <w:t xml:space="preserve">(Evidence Act 1995 </w:t>
      </w:r>
      <w:r>
        <w:t>(</w:t>
      </w:r>
      <w:r w:rsidRPr="00361921">
        <w:t>NSW</w:t>
      </w:r>
      <w:r>
        <w:t>)</w:t>
      </w:r>
      <w:r w:rsidRPr="00361921">
        <w:t>, s 101A)</w:t>
      </w:r>
      <w:r w:rsidRPr="005912AD">
        <w:t xml:space="preserve">. However, </w:t>
      </w:r>
      <w:r>
        <w:t xml:space="preserve">the distinction that law attempts to draw between credibility evidence </w:t>
      </w:r>
      <w:r w:rsidRPr="005912AD">
        <w:t xml:space="preserve">and </w:t>
      </w:r>
      <w:r>
        <w:t>evidence</w:t>
      </w:r>
      <w:r w:rsidRPr="005912AD">
        <w:t xml:space="preserve"> </w:t>
      </w:r>
      <w:r>
        <w:t>relevant</w:t>
      </w:r>
      <w:r w:rsidRPr="005912AD">
        <w:t xml:space="preserve"> to </w:t>
      </w:r>
      <w:r>
        <w:t xml:space="preserve">a </w:t>
      </w:r>
      <w:r w:rsidRPr="005912AD">
        <w:t xml:space="preserve">fact in </w:t>
      </w:r>
      <w:r>
        <w:t xml:space="preserve">issue </w:t>
      </w:r>
      <w:r w:rsidRPr="005912AD">
        <w:t>is often indistinct and unhelpful</w:t>
      </w:r>
      <w:r>
        <w:t xml:space="preserve"> (</w:t>
      </w:r>
      <w:r w:rsidRPr="007F7695">
        <w:t>Palmer v The Queen 1998, 193 CLR 1)</w:t>
      </w:r>
      <w:r>
        <w:t xml:space="preserve">. This issue becomes particularly significant in cases </w:t>
      </w:r>
      <w:r w:rsidRPr="005912AD">
        <w:t xml:space="preserve">where the only evidence is the competing accounts </w:t>
      </w:r>
      <w:r>
        <w:t>of</w:t>
      </w:r>
      <w:r w:rsidRPr="005912AD">
        <w:t xml:space="preserve"> the complainant</w:t>
      </w:r>
      <w:r>
        <w:t xml:space="preserve"> and the </w:t>
      </w:r>
      <w:r w:rsidRPr="005912AD">
        <w:t>defendant,</w:t>
      </w:r>
      <w:r>
        <w:t xml:space="preserve"> as</w:t>
      </w:r>
      <w:r w:rsidRPr="005912AD">
        <w:t xml:space="preserve"> the outcome will </w:t>
      </w:r>
      <w:r>
        <w:t>depend entirely on</w:t>
      </w:r>
      <w:r w:rsidRPr="005912AD">
        <w:t xml:space="preserve"> </w:t>
      </w:r>
      <w:r>
        <w:t xml:space="preserve">the </w:t>
      </w:r>
      <w:r w:rsidRPr="005912AD">
        <w:t>assessment of their credibility</w:t>
      </w:r>
      <w:r>
        <w:t xml:space="preserve"> </w:t>
      </w:r>
      <w:r w:rsidRPr="003168B3">
        <w:t>(Roberts and Ormerod 2021</w:t>
      </w:r>
      <w:r>
        <w:t>).</w:t>
      </w:r>
    </w:p>
    <w:p w14:paraId="1D01F752" w14:textId="3CE92C80" w:rsidR="00645E1A" w:rsidRDefault="00645E1A" w:rsidP="00AA5AD8">
      <w:pPr>
        <w:pStyle w:val="Newparagraph"/>
        <w:spacing w:line="276" w:lineRule="auto"/>
        <w:jc w:val="both"/>
      </w:pPr>
      <w:r>
        <w:t>Although</w:t>
      </w:r>
      <w:r w:rsidRPr="00DB0F4D">
        <w:t xml:space="preserve"> trial</w:t>
      </w:r>
      <w:r>
        <w:t>s</w:t>
      </w:r>
      <w:r w:rsidRPr="00DB0F4D">
        <w:t xml:space="preserve"> </w:t>
      </w:r>
      <w:r>
        <w:t>are intended to be</w:t>
      </w:r>
      <w:r w:rsidRPr="00DB0F4D">
        <w:t xml:space="preserve"> rational fact-finding process</w:t>
      </w:r>
      <w:r>
        <w:t xml:space="preserve">es, this ideal can be difficult to realise in </w:t>
      </w:r>
      <w:r w:rsidRPr="00B06E88">
        <w:t>practice. R</w:t>
      </w:r>
      <w:proofErr w:type="spellStart"/>
      <w:r w:rsidRPr="00B06E88">
        <w:rPr>
          <w:lang w:val="en-US"/>
        </w:rPr>
        <w:t>esearch</w:t>
      </w:r>
      <w:proofErr w:type="spellEnd"/>
      <w:r w:rsidRPr="00B06E88">
        <w:rPr>
          <w:lang w:val="en-US"/>
        </w:rPr>
        <w:t xml:space="preserve"> suggests </w:t>
      </w:r>
      <w:r w:rsidRPr="00B06E88">
        <w:t xml:space="preserve">that </w:t>
      </w:r>
      <w:r>
        <w:t>the presence of</w:t>
      </w:r>
      <w:r w:rsidRPr="00B06E88">
        <w:rPr>
          <w:lang w:val="en-US"/>
        </w:rPr>
        <w:t xml:space="preserve"> emotional content</w:t>
      </w:r>
      <w:r>
        <w:t xml:space="preserve"> – especially </w:t>
      </w:r>
      <w:r w:rsidRPr="00B06E88">
        <w:rPr>
          <w:lang w:val="en-US"/>
        </w:rPr>
        <w:t xml:space="preserve">through </w:t>
      </w:r>
      <w:r w:rsidRPr="00B06E88">
        <w:t>multi-sensory</w:t>
      </w:r>
      <w:r w:rsidRPr="00B06E88">
        <w:rPr>
          <w:lang w:val="en-US"/>
        </w:rPr>
        <w:t xml:space="preserve"> forms of evidence such as </w:t>
      </w:r>
      <w:r w:rsidRPr="00B06E88">
        <w:t>audio-visual recordings</w:t>
      </w:r>
      <w:r>
        <w:t xml:space="preserve"> </w:t>
      </w:r>
      <w:r w:rsidRPr="00CA63AF">
        <w:t>(Fernández-Aguilar et al. 201</w:t>
      </w:r>
      <w:r>
        <w:t>9</w:t>
      </w:r>
      <w:r w:rsidRPr="00CA63AF">
        <w:t>)</w:t>
      </w:r>
      <w:r w:rsidRPr="00B06E88">
        <w:t xml:space="preserve"> </w:t>
      </w:r>
      <w:r>
        <w:t xml:space="preserve">– can undermine this goal by influencing how information is processed and evaluated </w:t>
      </w:r>
      <w:r w:rsidRPr="0005772E">
        <w:t>(Kaufmann et al. 2003</w:t>
      </w:r>
      <w:r>
        <w:t>).</w:t>
      </w:r>
    </w:p>
    <w:p w14:paraId="6F79D8C8" w14:textId="77777777" w:rsidR="00645E1A" w:rsidRDefault="00645E1A" w:rsidP="00AA5AD8">
      <w:pPr>
        <w:pStyle w:val="Newparagraph"/>
        <w:spacing w:line="276" w:lineRule="auto"/>
        <w:jc w:val="both"/>
      </w:pPr>
      <w:r>
        <w:t xml:space="preserve"> This section explores two related issues. In the first subsection, drawing on empirical evidence on the Emotional Victim Effect, the focus is on how the emotional demeanour of complainants in recorded evidence influences how their credibility is assessed, and verdicts. In the second subsection, the focus shifts to the emotional responses of viewers of audiovisual evidence, and how these emotions might affect their legal decision-making.</w:t>
      </w:r>
    </w:p>
    <w:p w14:paraId="0AB3A2A9" w14:textId="77777777" w:rsidR="00645E1A" w:rsidRPr="006C229E" w:rsidRDefault="00645E1A" w:rsidP="00AA5AD8">
      <w:pPr>
        <w:pStyle w:val="Heading1"/>
        <w:spacing w:line="276" w:lineRule="auto"/>
        <w:jc w:val="both"/>
      </w:pPr>
      <w:r w:rsidRPr="006C229E">
        <w:t>Complainant Emotionality and the Emotional Victim Effect</w:t>
      </w:r>
    </w:p>
    <w:p w14:paraId="2873DEB3" w14:textId="707ABA37" w:rsidR="00645E1A" w:rsidRPr="006C229E" w:rsidRDefault="00645E1A" w:rsidP="00AA5AD8">
      <w:pPr>
        <w:pStyle w:val="Paragraph"/>
        <w:spacing w:line="276" w:lineRule="auto"/>
        <w:jc w:val="both"/>
        <w:rPr>
          <w:lang w:val="en-AU"/>
        </w:rPr>
      </w:pPr>
      <w:r w:rsidRPr="006C229E">
        <w:rPr>
          <w:lang w:val="en-AU"/>
        </w:rPr>
        <w:t xml:space="preserve">Empirical research suggests that female complainants of physical assaults who display distress in their testimony tend to be perceived as more credible than those who appear </w:t>
      </w:r>
      <w:r w:rsidRPr="006C229E">
        <w:rPr>
          <w:lang w:val="en-AU"/>
        </w:rPr>
        <w:lastRenderedPageBreak/>
        <w:t>emotionally neutral</w:t>
      </w:r>
      <w:r>
        <w:rPr>
          <w:lang w:val="en-AU"/>
        </w:rPr>
        <w:t xml:space="preserve"> </w:t>
      </w:r>
      <w:r w:rsidRPr="003B1CCC">
        <w:t xml:space="preserve">(Ask and </w:t>
      </w:r>
      <w:proofErr w:type="spellStart"/>
      <w:r w:rsidRPr="003B1CCC">
        <w:t>Landström</w:t>
      </w:r>
      <w:proofErr w:type="spellEnd"/>
      <w:r w:rsidRPr="003B1CCC">
        <w:t xml:space="preserve"> 2010)</w:t>
      </w:r>
      <w:r w:rsidRPr="006C229E">
        <w:rPr>
          <w:lang w:val="en-AU"/>
        </w:rPr>
        <w:t>. This phenomenon, known as the Emotional Victim Effect, has been demonstrated by multiple studies</w:t>
      </w:r>
      <w:r>
        <w:rPr>
          <w:lang w:val="en-AU"/>
        </w:rPr>
        <w:t xml:space="preserve"> </w:t>
      </w:r>
      <w:r w:rsidRPr="008A5A5E">
        <w:t>(van Doorn and Koster 2019; Nitschke, McKimmie, and Vanman 2019)</w:t>
      </w:r>
      <w:r w:rsidRPr="006C229E">
        <w:rPr>
          <w:lang w:val="en-AU"/>
        </w:rPr>
        <w:t>. It shows how emotional expression can act as a cue for credibility assessment, even though in reality it is not a reliable indicator of witness honesty or accuracy</w:t>
      </w:r>
      <w:r>
        <w:rPr>
          <w:lang w:val="en-AU"/>
        </w:rPr>
        <w:t xml:space="preserve"> (</w:t>
      </w:r>
      <w:r w:rsidRPr="00D71ED0">
        <w:t>Nitschke, McKimmie, and Vanman 2019</w:t>
      </w:r>
      <w:r>
        <w:t>)</w:t>
      </w:r>
      <w:r w:rsidRPr="006C229E">
        <w:rPr>
          <w:lang w:val="en-AU"/>
        </w:rPr>
        <w:t>. Victims’ emotional expressions can further influence guilt judgments and verdicts. While some findings suggest that judges may be less influenced by emotional displays</w:t>
      </w:r>
      <w:r>
        <w:rPr>
          <w:lang w:val="en-AU"/>
        </w:rPr>
        <w:t xml:space="preserve"> </w:t>
      </w:r>
      <w:r w:rsidRPr="00FC601E">
        <w:t>(Wessel et al. 2006</w:t>
      </w:r>
      <w:r>
        <w:t>)</w:t>
      </w:r>
      <w:r w:rsidRPr="006C229E">
        <w:rPr>
          <w:lang w:val="en-AU"/>
        </w:rPr>
        <w:t>, laypeople remain susceptible</w:t>
      </w:r>
      <w:r>
        <w:rPr>
          <w:lang w:val="en-AU"/>
        </w:rPr>
        <w:t xml:space="preserve"> </w:t>
      </w:r>
      <w:r w:rsidRPr="008101F0">
        <w:t>(Kaufmann et al. 2003</w:t>
      </w:r>
      <w:r>
        <w:t>)</w:t>
      </w:r>
      <w:r w:rsidRPr="006C229E">
        <w:rPr>
          <w:lang w:val="en-AU"/>
        </w:rPr>
        <w:t>, which is particularly relevant in jurisdictions where trials are conducted before juries. </w:t>
      </w:r>
      <w:r w:rsidRPr="006C229E">
        <w:t>Public expectations around victim emotionality are also gendered: male victims are more often expected to show anger or hatred, while female victims are expected to express fear, anxiety, or sadness</w:t>
      </w:r>
      <w:r>
        <w:t xml:space="preserve"> </w:t>
      </w:r>
      <w:r w:rsidRPr="005C37E8">
        <w:t>(Wrede and Ask 2015</w:t>
      </w:r>
      <w:r>
        <w:t>)</w:t>
      </w:r>
      <w:r w:rsidRPr="006C229E">
        <w:t>, and to do so more intensely</w:t>
      </w:r>
      <w:r>
        <w:t xml:space="preserve"> </w:t>
      </w:r>
      <w:r w:rsidRPr="00653771">
        <w:t>(Bosma et al. 2018</w:t>
      </w:r>
      <w:r>
        <w:t>)</w:t>
      </w:r>
      <w:r w:rsidRPr="006C229E">
        <w:t xml:space="preserve">. </w:t>
      </w:r>
      <w:r w:rsidR="008B4209">
        <w:t xml:space="preserve">As interviews with lay judges illustrate, these expectations are often explicitly gendered; for example, </w:t>
      </w:r>
      <w:r w:rsidR="00EC2DD3">
        <w:t>some</w:t>
      </w:r>
      <w:r w:rsidR="008B4209">
        <w:t xml:space="preserve"> lay judge</w:t>
      </w:r>
      <w:r w:rsidR="00EC2DD3">
        <w:t>s</w:t>
      </w:r>
      <w:r w:rsidR="008B4209">
        <w:t xml:space="preserve"> stated that </w:t>
      </w:r>
      <w:r w:rsidR="00EC2DD3">
        <w:t>“</w:t>
      </w:r>
      <w:r w:rsidR="008B4209">
        <w:t>women cry, and men are pissed off</w:t>
      </w:r>
      <w:r w:rsidR="00EC2DD3">
        <w:t xml:space="preserve">” and that “it is mostly women who start to cry” </w:t>
      </w:r>
      <w:r w:rsidR="008B4209">
        <w:t>(</w:t>
      </w:r>
      <w:r w:rsidR="00EC2DD3">
        <w:t>Heber and Fredriksson 2025, 720</w:t>
      </w:r>
      <w:r w:rsidR="008B4209">
        <w:t xml:space="preserve">). </w:t>
      </w:r>
      <w:r w:rsidRPr="006C229E">
        <w:t>These stereotypical expectations may shape credibility judgements, those judgements favouring those who conform to them, and disadvantaging those who do not.</w:t>
      </w:r>
    </w:p>
    <w:p w14:paraId="00334070" w14:textId="0291C73B" w:rsidR="00645E1A" w:rsidRPr="006C229E" w:rsidRDefault="00645E1A" w:rsidP="00AA5AD8">
      <w:pPr>
        <w:pStyle w:val="Newparagraph"/>
        <w:spacing w:line="276" w:lineRule="auto"/>
        <w:jc w:val="both"/>
      </w:pPr>
      <w:r w:rsidRPr="006C229E">
        <w:rPr>
          <w:lang w:val="en-AU"/>
        </w:rPr>
        <w:t>Most research on the Emotional Victim Effect has focused on victims of rape</w:t>
      </w:r>
      <w:r>
        <w:rPr>
          <w:lang w:val="en-AU"/>
        </w:rPr>
        <w:t xml:space="preserve"> </w:t>
      </w:r>
      <w:r w:rsidRPr="00A91F29">
        <w:t>(van Doorn and Koster 2019</w:t>
      </w:r>
      <w:r>
        <w:t>)</w:t>
      </w:r>
      <w:r w:rsidRPr="006C229E">
        <w:rPr>
          <w:lang w:val="en-AU"/>
        </w:rPr>
        <w:t xml:space="preserve"> yet there is a clear need to extend this to Domestic and Family Violence victims, who may also display diverse emotional reactions that could impact credibility assessments. While distress is typically associated with increased credibility, many complainants exhibit emotional neutrality or apathy</w:t>
      </w:r>
      <w:r>
        <w:rPr>
          <w:lang w:val="en-AU"/>
        </w:rPr>
        <w:t xml:space="preserve"> </w:t>
      </w:r>
      <w:r w:rsidRPr="00A47721">
        <w:t>(Avdibegovic, Brkic, and Sinanovic 2017</w:t>
      </w:r>
      <w:r>
        <w:t>)</w:t>
      </w:r>
      <w:r w:rsidRPr="006C229E">
        <w:rPr>
          <w:lang w:val="en-AU"/>
        </w:rPr>
        <w:t>, which, due to the Emotional Victim Effect, may lead to decreased perceived credibility. Anger is another common emotional response</w:t>
      </w:r>
      <w:r>
        <w:rPr>
          <w:lang w:val="en-AU"/>
        </w:rPr>
        <w:t xml:space="preserve"> </w:t>
      </w:r>
      <w:r w:rsidRPr="00A47721">
        <w:t>(Avdibegovic, Brkic, and Sinanovic 2017</w:t>
      </w:r>
      <w:r>
        <w:t>)</w:t>
      </w:r>
      <w:r w:rsidRPr="006C229E">
        <w:rPr>
          <w:lang w:val="en-AU"/>
        </w:rPr>
        <w:t>, yet it deviates from the stereotypical traits of the passive, distressed ‘ideal victim’, particularly in women, as it is associated with agency and control</w:t>
      </w:r>
      <w:r>
        <w:rPr>
          <w:lang w:val="en-AU"/>
        </w:rPr>
        <w:t xml:space="preserve"> </w:t>
      </w:r>
      <w:r w:rsidRPr="00677CD6">
        <w:t>(Bosma et al. 2018</w:t>
      </w:r>
      <w:r>
        <w:t>)</w:t>
      </w:r>
      <w:r w:rsidRPr="006C229E">
        <w:rPr>
          <w:lang w:val="en-AU"/>
        </w:rPr>
        <w:t>. Others may even display anxiety laughter, where laughing is used as a coping mechanism (much like crying) as a reaction to traumatic experiences</w:t>
      </w:r>
      <w:r>
        <w:rPr>
          <w:lang w:val="en-AU"/>
        </w:rPr>
        <w:t xml:space="preserve"> </w:t>
      </w:r>
      <w:r w:rsidRPr="00D40E29">
        <w:t>(Ladegaard 2013</w:t>
      </w:r>
      <w:r>
        <w:t>)</w:t>
      </w:r>
      <w:r w:rsidRPr="006C229E">
        <w:rPr>
          <w:lang w:val="en-AU"/>
        </w:rPr>
        <w:t>, to release tension caused by anxiety</w:t>
      </w:r>
      <w:r>
        <w:rPr>
          <w:lang w:val="en-AU"/>
        </w:rPr>
        <w:t xml:space="preserve"> </w:t>
      </w:r>
      <w:r w:rsidRPr="004C12E4">
        <w:t>(Giles and Oxford 1970</w:t>
      </w:r>
      <w:r>
        <w:t>)</w:t>
      </w:r>
      <w:r w:rsidRPr="006C229E">
        <w:rPr>
          <w:lang w:val="en-AU"/>
        </w:rPr>
        <w:t>. All these variations in emotional expression can significantly influence how credibility is judged, especially when they do not align with societal expectations of how a victim ‘should’ behave</w:t>
      </w:r>
      <w:r>
        <w:rPr>
          <w:lang w:val="en-AU"/>
        </w:rPr>
        <w:t xml:space="preserve"> </w:t>
      </w:r>
      <w:r w:rsidRPr="00C539FB">
        <w:t>(Bosma et al. 2018</w:t>
      </w:r>
      <w:r>
        <w:t>)</w:t>
      </w:r>
      <w:r w:rsidRPr="006C229E">
        <w:rPr>
          <w:lang w:val="en-AU"/>
        </w:rPr>
        <w:t xml:space="preserve">. </w:t>
      </w:r>
      <w:r w:rsidRPr="006C229E">
        <w:t>This is particularly important, as low perceived credibility in Domestic and Family Violence cases is associated with case attrition, which in turn may discourage victims from seeking justice or support</w:t>
      </w:r>
      <w:r>
        <w:t xml:space="preserve"> </w:t>
      </w:r>
      <w:r w:rsidRPr="00730EB9">
        <w:t>(Epstein and Goodman 2018</w:t>
      </w:r>
      <w:r>
        <w:t>)</w:t>
      </w:r>
      <w:r w:rsidRPr="006C229E">
        <w:t>.</w:t>
      </w:r>
    </w:p>
    <w:p w14:paraId="493BC022" w14:textId="364116C2" w:rsidR="00645E1A" w:rsidRPr="006C229E" w:rsidRDefault="00645E1A" w:rsidP="00AA5AD8">
      <w:pPr>
        <w:pStyle w:val="Newparagraph"/>
        <w:spacing w:line="276" w:lineRule="auto"/>
        <w:jc w:val="both"/>
        <w:rPr>
          <w:lang w:val="en-US"/>
        </w:rPr>
      </w:pPr>
      <w:r w:rsidRPr="006C229E">
        <w:rPr>
          <w:lang w:val="en-AU"/>
        </w:rPr>
        <w:t>While these effects have been well-documented in research using mock written, live, or video testimonies</w:t>
      </w:r>
      <w:r>
        <w:rPr>
          <w:lang w:val="en-AU"/>
        </w:rPr>
        <w:t xml:space="preserve"> </w:t>
      </w:r>
      <w:r w:rsidRPr="00075285">
        <w:t>(van Doorn and Koster 2019</w:t>
      </w:r>
      <w:r>
        <w:t>)</w:t>
      </w:r>
      <w:r w:rsidRPr="006C229E">
        <w:rPr>
          <w:lang w:val="en-AU"/>
        </w:rPr>
        <w:t>, Domestic Violence Evidence-in-Chief presents a unique form of evidence. These statements are meant to be recorded as soon as possible after the alleged incident</w:t>
      </w:r>
      <w:r>
        <w:rPr>
          <w:lang w:val="en-AU"/>
        </w:rPr>
        <w:t xml:space="preserve"> </w:t>
      </w:r>
      <w:r w:rsidRPr="003C0E9B">
        <w:t xml:space="preserve">(Criminal Procedure Act 1986 </w:t>
      </w:r>
      <w:r>
        <w:t>(</w:t>
      </w:r>
      <w:r w:rsidRPr="003C0E9B">
        <w:t>NSW</w:t>
      </w:r>
      <w:r>
        <w:t>)</w:t>
      </w:r>
      <w:r w:rsidRPr="003C0E9B">
        <w:t>, s 289D</w:t>
      </w:r>
      <w:r>
        <w:t>(</w:t>
      </w:r>
      <w:r w:rsidRPr="003C0E9B">
        <w:t>b</w:t>
      </w:r>
      <w:r>
        <w:t>)</w:t>
      </w:r>
      <w:r w:rsidRPr="003C0E9B">
        <w:t>)</w:t>
      </w:r>
      <w:r w:rsidRPr="006C229E">
        <w:rPr>
          <w:lang w:val="en-AU"/>
        </w:rPr>
        <w:t>, often at the scene, capturing the victim’s emotional state in real time</w:t>
      </w:r>
      <w:r>
        <w:rPr>
          <w:lang w:val="en-AU"/>
        </w:rPr>
        <w:t xml:space="preserve"> </w:t>
      </w:r>
      <w:r w:rsidRPr="000C44AF">
        <w:t>(Iliadis et al. 2024</w:t>
      </w:r>
      <w:r>
        <w:t>)</w:t>
      </w:r>
      <w:r w:rsidRPr="006C229E">
        <w:rPr>
          <w:lang w:val="en-AU"/>
        </w:rPr>
        <w:t>. This immediacy may enhance the occurrence and impact of emotional expression on credibility judgements, especially in Domestic and Family Violence cases where the pre-recorded complainant statement is often the only evidence available</w:t>
      </w:r>
      <w:r>
        <w:rPr>
          <w:lang w:val="en-AU"/>
        </w:rPr>
        <w:t xml:space="preserve"> </w:t>
      </w:r>
      <w:r w:rsidRPr="00553D4C">
        <w:t>(Roberts and Ormerod 2021</w:t>
      </w:r>
      <w:r>
        <w:t>)</w:t>
      </w:r>
      <w:r w:rsidRPr="006C229E">
        <w:rPr>
          <w:lang w:val="en-AU"/>
        </w:rPr>
        <w:t xml:space="preserve">. It is also possible that complainants’ emotional demeanour has a greater effect on credibility assessments in video statements, as this format makes </w:t>
      </w:r>
      <w:r w:rsidRPr="006C229E">
        <w:rPr>
          <w:lang w:val="en-AU"/>
        </w:rPr>
        <w:lastRenderedPageBreak/>
        <w:t>emotional expression more salient</w:t>
      </w:r>
      <w:r>
        <w:rPr>
          <w:lang w:val="en-AU"/>
        </w:rPr>
        <w:t xml:space="preserve"> </w:t>
      </w:r>
      <w:r w:rsidRPr="00BE7909">
        <w:t>(Nitschke, McKimmie, and Vanman 2019</w:t>
      </w:r>
      <w:r>
        <w:t>)</w:t>
      </w:r>
      <w:r w:rsidRPr="006C229E">
        <w:rPr>
          <w:lang w:val="en-AU"/>
        </w:rPr>
        <w:t xml:space="preserve">. </w:t>
      </w:r>
      <w:r w:rsidRPr="006C229E">
        <w:t>Given this heightened potential for emotional influence, it is crucial to understand how the Emotional Victim Effect may operate specifically in the context of Domestic Violence Evidence-in-Chief.</w:t>
      </w:r>
    </w:p>
    <w:p w14:paraId="1446C214" w14:textId="10BB00CB" w:rsidR="00645E1A" w:rsidRPr="006C229E" w:rsidRDefault="00645E1A" w:rsidP="00AA5AD8">
      <w:pPr>
        <w:pStyle w:val="Newparagraph"/>
        <w:spacing w:line="276" w:lineRule="auto"/>
        <w:jc w:val="both"/>
        <w:rPr>
          <w:lang w:val="en-AU"/>
        </w:rPr>
      </w:pPr>
      <w:r w:rsidRPr="006C229E">
        <w:rPr>
          <w:lang w:val="en-AU"/>
        </w:rPr>
        <w:t xml:space="preserve">To better understand why emotional </w:t>
      </w:r>
      <w:proofErr w:type="gramStart"/>
      <w:r w:rsidRPr="006C229E">
        <w:rPr>
          <w:lang w:val="en-AU"/>
        </w:rPr>
        <w:t>expressions</w:t>
      </w:r>
      <w:proofErr w:type="gramEnd"/>
      <w:r w:rsidRPr="006C229E">
        <w:rPr>
          <w:lang w:val="en-AU"/>
        </w:rPr>
        <w:t xml:space="preserve"> carry such weight in shaping perceptions of credibility, it is helpful to consider the psychological mechanisms that may underlie this effect. Several psychological theories have been proposed to explain how the Emotional Victim Effect may operate. For instance, people have expectations about what kind of emotional expressions are appropriate in certain situations</w:t>
      </w:r>
      <w:r>
        <w:rPr>
          <w:lang w:val="en-AU"/>
        </w:rPr>
        <w:t xml:space="preserve"> </w:t>
      </w:r>
      <w:r w:rsidRPr="00254321">
        <w:t>(Shields 2005</w:t>
      </w:r>
      <w:r>
        <w:t>)</w:t>
      </w:r>
      <w:r w:rsidRPr="006C229E">
        <w:rPr>
          <w:lang w:val="en-AU"/>
        </w:rPr>
        <w:t>. Beliefs and stereotypes of ideal victims exist too</w:t>
      </w:r>
      <w:r>
        <w:rPr>
          <w:lang w:val="en-AU"/>
        </w:rPr>
        <w:t xml:space="preserve"> </w:t>
      </w:r>
      <w:r w:rsidRPr="00A97973">
        <w:t xml:space="preserve">(Ask and </w:t>
      </w:r>
      <w:proofErr w:type="spellStart"/>
      <w:r w:rsidRPr="00A97973">
        <w:t>Landström</w:t>
      </w:r>
      <w:proofErr w:type="spellEnd"/>
      <w:r w:rsidRPr="00A97973">
        <w:t xml:space="preserve"> 2010</w:t>
      </w:r>
      <w:r>
        <w:t xml:space="preserve">; </w:t>
      </w:r>
      <w:r w:rsidRPr="002056EE">
        <w:t>Wrede and Ask 2015</w:t>
      </w:r>
      <w:r>
        <w:t>)</w:t>
      </w:r>
      <w:r w:rsidRPr="006C229E">
        <w:rPr>
          <w:lang w:val="en-AU"/>
        </w:rPr>
        <w:t>, which include what emotions are typical and expected as such. When victims do not conform to these expectations, a phenomenon labelled ‘expectancy violation’ may occur, which can negatively influence assessments of their credibility</w:t>
      </w:r>
      <w:r>
        <w:rPr>
          <w:lang w:val="en-AU"/>
        </w:rPr>
        <w:t xml:space="preserve"> </w:t>
      </w:r>
      <w:r w:rsidRPr="00A97973">
        <w:t xml:space="preserve">(Ask and </w:t>
      </w:r>
      <w:proofErr w:type="spellStart"/>
      <w:r w:rsidRPr="00A97973">
        <w:t>Landström</w:t>
      </w:r>
      <w:proofErr w:type="spellEnd"/>
      <w:r w:rsidRPr="00A97973">
        <w:t xml:space="preserve"> 2010</w:t>
      </w:r>
      <w:r>
        <w:t>)</w:t>
      </w:r>
      <w:r w:rsidRPr="006C229E">
        <w:rPr>
          <w:lang w:val="en-AU"/>
        </w:rPr>
        <w:t xml:space="preserve">. </w:t>
      </w:r>
      <w:r w:rsidR="0058068D">
        <w:rPr>
          <w:lang w:val="en-AU"/>
        </w:rPr>
        <w:t xml:space="preserve">This mechanism may underlie the Emotional Victim Effect: complainants whose emotional expressions align with observers’ expectations are judged as more </w:t>
      </w:r>
      <w:proofErr w:type="spellStart"/>
      <w:r w:rsidR="0058068D">
        <w:rPr>
          <w:lang w:val="en-AU"/>
        </w:rPr>
        <w:t>credibile</w:t>
      </w:r>
      <w:proofErr w:type="spellEnd"/>
      <w:r w:rsidR="0058068D">
        <w:rPr>
          <w:lang w:val="en-AU"/>
        </w:rPr>
        <w:t xml:space="preserve"> than those who remain emotionally neutral (</w:t>
      </w:r>
      <w:proofErr w:type="spellStart"/>
      <w:r w:rsidR="0058068D" w:rsidRPr="007D74A2">
        <w:t>Landström</w:t>
      </w:r>
      <w:proofErr w:type="spellEnd"/>
      <w:r w:rsidR="0058068D">
        <w:t>, Ask and Sommar</w:t>
      </w:r>
      <w:r w:rsidR="0058068D" w:rsidRPr="007D74A2">
        <w:t xml:space="preserve"> 201</w:t>
      </w:r>
      <w:r w:rsidR="0058068D">
        <w:t>9).</w:t>
      </w:r>
    </w:p>
    <w:p w14:paraId="79904670" w14:textId="489657D4" w:rsidR="006C229E" w:rsidRPr="006C229E" w:rsidRDefault="00645E1A" w:rsidP="00AA5AD8">
      <w:pPr>
        <w:pStyle w:val="Newparagraph"/>
        <w:spacing w:line="276" w:lineRule="auto"/>
        <w:jc w:val="both"/>
        <w:rPr>
          <w:lang w:val="en-AU"/>
        </w:rPr>
      </w:pPr>
      <w:r w:rsidRPr="006C229E">
        <w:rPr>
          <w:lang w:val="en-AU"/>
        </w:rPr>
        <w:t xml:space="preserve">The emotional </w:t>
      </w:r>
      <w:r w:rsidRPr="00083876">
        <w:rPr>
          <w:lang w:val="en-AU"/>
        </w:rPr>
        <w:t xml:space="preserve">reactions of </w:t>
      </w:r>
      <w:proofErr w:type="gramStart"/>
      <w:r w:rsidRPr="00083876">
        <w:rPr>
          <w:lang w:val="en-AU"/>
        </w:rPr>
        <w:t>fact-finders</w:t>
      </w:r>
      <w:proofErr w:type="gramEnd"/>
      <w:r w:rsidRPr="00083876">
        <w:rPr>
          <w:rStyle w:val="EndnoteReference"/>
          <w:lang w:val="en-AU"/>
        </w:rPr>
        <w:endnoteReference w:id="2"/>
      </w:r>
      <w:r w:rsidRPr="00083876">
        <w:rPr>
          <w:lang w:val="en-AU"/>
        </w:rPr>
        <w:t xml:space="preserve"> </w:t>
      </w:r>
      <w:r w:rsidR="006C229E" w:rsidRPr="00083876">
        <w:rPr>
          <w:lang w:val="en-AU"/>
        </w:rPr>
        <w:t>to a</w:t>
      </w:r>
      <w:r w:rsidR="006C229E" w:rsidRPr="006C229E">
        <w:rPr>
          <w:lang w:val="en-AU"/>
        </w:rPr>
        <w:t xml:space="preserve"> complainant’s demeanour may also contribute to the Emotional Victim Effect. Emotional complainants may have a stronger emotional impact on the viewer, evoking feelings of compassion</w:t>
      </w:r>
      <w:r w:rsidR="00027AD8">
        <w:rPr>
          <w:lang w:val="en-AU"/>
        </w:rPr>
        <w:t xml:space="preserve"> </w:t>
      </w:r>
      <w:r w:rsidR="00027AD8" w:rsidRPr="00A97973">
        <w:t xml:space="preserve">(Ask and </w:t>
      </w:r>
      <w:proofErr w:type="spellStart"/>
      <w:r w:rsidR="00027AD8" w:rsidRPr="00A97973">
        <w:t>Landström</w:t>
      </w:r>
      <w:proofErr w:type="spellEnd"/>
      <w:r w:rsidR="00027AD8" w:rsidRPr="00A97973">
        <w:t xml:space="preserve"> 2010</w:t>
      </w:r>
      <w:r w:rsidR="00027AD8">
        <w:t>)</w:t>
      </w:r>
      <w:r w:rsidR="006C229E" w:rsidRPr="006C229E">
        <w:rPr>
          <w:lang w:val="en-AU"/>
        </w:rPr>
        <w:t>. People often use their own emotional states as a shortcut to process and evaluate information. As a result, victims who appear more emotional may be judged as more believable simply because they cause empathy in the viewer</w:t>
      </w:r>
      <w:r w:rsidR="00027AD8">
        <w:rPr>
          <w:lang w:val="en-AU"/>
        </w:rPr>
        <w:t xml:space="preserve"> </w:t>
      </w:r>
      <w:r w:rsidR="00027AD8" w:rsidRPr="00A97973">
        <w:t xml:space="preserve">(Ask and </w:t>
      </w:r>
      <w:proofErr w:type="spellStart"/>
      <w:r w:rsidR="00027AD8" w:rsidRPr="00A97973">
        <w:t>Landström</w:t>
      </w:r>
      <w:proofErr w:type="spellEnd"/>
      <w:r w:rsidR="00027AD8" w:rsidRPr="00A97973">
        <w:t xml:space="preserve"> 2010</w:t>
      </w:r>
      <w:r w:rsidR="00027AD8">
        <w:t>)</w:t>
      </w:r>
      <w:r w:rsidR="006C229E" w:rsidRPr="006C229E">
        <w:rPr>
          <w:lang w:val="en-AU"/>
        </w:rPr>
        <w:t>.</w:t>
      </w:r>
      <w:r w:rsidR="00EC2DD3">
        <w:rPr>
          <w:lang w:val="en-AU"/>
        </w:rPr>
        <w:t xml:space="preserve"> Evidence from lay judges further suggests that decision-makers may also recognise, to some degree, that their own emotional responses guide their credibility assessments, sometimes describing their judgements as being influenced by intuition or gut feelings (Heber and Fredriksson 2025).</w:t>
      </w:r>
    </w:p>
    <w:p w14:paraId="2EEB3A56" w14:textId="78733673" w:rsidR="006C229E" w:rsidRPr="006C229E" w:rsidRDefault="006C229E" w:rsidP="00AA5AD8">
      <w:pPr>
        <w:pStyle w:val="Newparagraph"/>
        <w:spacing w:line="276" w:lineRule="auto"/>
        <w:jc w:val="both"/>
        <w:rPr>
          <w:lang w:val="en-AU"/>
        </w:rPr>
      </w:pPr>
      <w:r w:rsidRPr="006C229E">
        <w:rPr>
          <w:lang w:val="en-AU"/>
        </w:rPr>
        <w:t>The Emotional Victim Effect may also be mediated by the Heuristic-Systematic Model</w:t>
      </w:r>
      <w:r w:rsidR="00587E3D">
        <w:rPr>
          <w:lang w:val="en-AU"/>
        </w:rPr>
        <w:t xml:space="preserve"> </w:t>
      </w:r>
      <w:r w:rsidR="00587E3D" w:rsidRPr="00587E3D">
        <w:t>(Chaiken 1980</w:t>
      </w:r>
      <w:r w:rsidR="00587E3D">
        <w:t>)</w:t>
      </w:r>
      <w:r w:rsidRPr="006C229E">
        <w:rPr>
          <w:lang w:val="en-AU"/>
        </w:rPr>
        <w:t>. This model suggests that people process information either systematically, by carefully analysing it, or heuristically, by relying on mental shortcuts. Emotional expressions can trigger heuristic processing: if a victim appears distressed, matching the viewer’s stereotype of how a domestic violence victim ‘should’ behave, they may be judged as more credible. If the victim’s emotional demeanour does not align with expectations, their credibility may be questioned</w:t>
      </w:r>
      <w:r w:rsidR="009278F7">
        <w:rPr>
          <w:lang w:val="en-AU"/>
        </w:rPr>
        <w:t xml:space="preserve"> </w:t>
      </w:r>
      <w:r w:rsidR="009278F7" w:rsidRPr="009278F7">
        <w:t>(Nitschke, McKimmie, and Vanman 2019</w:t>
      </w:r>
      <w:r w:rsidR="009278F7">
        <w:t>)</w:t>
      </w:r>
      <w:r w:rsidRPr="006C229E">
        <w:rPr>
          <w:lang w:val="en-AU"/>
        </w:rPr>
        <w:t xml:space="preserve">. </w:t>
      </w:r>
    </w:p>
    <w:p w14:paraId="0CCEE0BC" w14:textId="63710DC7" w:rsidR="006C229E" w:rsidRPr="006C229E" w:rsidRDefault="006C229E" w:rsidP="00AA5AD8">
      <w:pPr>
        <w:pStyle w:val="Newparagraph"/>
        <w:spacing w:line="276" w:lineRule="auto"/>
        <w:jc w:val="both"/>
        <w:rPr>
          <w:lang w:val="en-AU"/>
        </w:rPr>
      </w:pPr>
      <w:r w:rsidRPr="006C229E">
        <w:rPr>
          <w:lang w:val="en-AU"/>
        </w:rPr>
        <w:t>These psychological mechanisms suggest that emotional expression can influence credibility judgments both by violating expectations and by triggering emotional responses in observers. In the next section, the focus shifts to jurors themselves, examining how their emotional reactions to viewing audiovisual evidence might shape – and potentially bias – the fact-finding process.</w:t>
      </w:r>
    </w:p>
    <w:p w14:paraId="77904145" w14:textId="77777777" w:rsidR="006C229E" w:rsidRPr="006C229E" w:rsidRDefault="006C229E" w:rsidP="00AA5AD8">
      <w:pPr>
        <w:pStyle w:val="Heading1"/>
        <w:spacing w:line="276" w:lineRule="auto"/>
        <w:jc w:val="both"/>
        <w:rPr>
          <w:lang w:val="en-AU"/>
        </w:rPr>
      </w:pPr>
      <w:bookmarkStart w:id="0" w:name="_Toc201600833"/>
      <w:r w:rsidRPr="006C229E">
        <w:rPr>
          <w:lang w:val="en-AU"/>
        </w:rPr>
        <w:t>Juror Emotional Response to Evidence</w:t>
      </w:r>
      <w:bookmarkEnd w:id="0"/>
    </w:p>
    <w:p w14:paraId="793F1BFD" w14:textId="7A12D22F" w:rsidR="00521994" w:rsidRPr="00521994" w:rsidRDefault="006C229E" w:rsidP="008029DC">
      <w:pPr>
        <w:pStyle w:val="Paragraph"/>
        <w:spacing w:before="0" w:line="276" w:lineRule="auto"/>
        <w:jc w:val="both"/>
        <w:rPr>
          <w:lang w:val="en-AU"/>
        </w:rPr>
      </w:pPr>
      <w:r w:rsidRPr="006C229E">
        <w:rPr>
          <w:lang w:val="en-AU"/>
        </w:rPr>
        <w:t xml:space="preserve">It is well established that jurors’ emotional states can significantly influence how they </w:t>
      </w:r>
      <w:r w:rsidRPr="006C229E">
        <w:rPr>
          <w:lang w:val="en-AU"/>
        </w:rPr>
        <w:lastRenderedPageBreak/>
        <w:t>process evidence and decide on a defendant’s guilt</w:t>
      </w:r>
      <w:r w:rsidR="006D731B">
        <w:rPr>
          <w:lang w:val="en-AU"/>
        </w:rPr>
        <w:t xml:space="preserve"> </w:t>
      </w:r>
      <w:r w:rsidR="006D731B" w:rsidRPr="006D731B">
        <w:t>(Georges, Wiener, and Keller 2013; Semmler and Brewer 2002; Nuñez et al. 2015; Nuñez et al. 2017</w:t>
      </w:r>
      <w:r w:rsidR="005F2D02">
        <w:t>; van Doorn et al. 2025</w:t>
      </w:r>
      <w:r w:rsidR="006D731B" w:rsidRPr="006D731B">
        <w:t>)</w:t>
      </w:r>
      <w:r w:rsidRPr="006C229E">
        <w:rPr>
          <w:lang w:val="en-AU"/>
        </w:rPr>
        <w:t>. For instance, in studies involving rape and first-degree murder cases, anger has been found to influence juror decision-making, causing more punitive attitudes towards the defendant, more weight placed on evidence congruent with their feelings, and a more impulsive and less objective evaluation of the evidence</w:t>
      </w:r>
      <w:r w:rsidR="00F95489">
        <w:rPr>
          <w:lang w:val="en-AU"/>
        </w:rPr>
        <w:t xml:space="preserve"> </w:t>
      </w:r>
      <w:r w:rsidR="00F95489" w:rsidRPr="005D2DF0">
        <w:t>(Georges, Wiener, and Keller 2013; Nuñez et al. 2015</w:t>
      </w:r>
      <w:r w:rsidR="00F95489">
        <w:t>)</w:t>
      </w:r>
      <w:r w:rsidRPr="006C229E">
        <w:rPr>
          <w:lang w:val="en-AU"/>
        </w:rPr>
        <w:t>. In contrast, sadness appeared to have no direct impact on verdicts in a first-degree murder scenario following an attempted robbery</w:t>
      </w:r>
      <w:r w:rsidR="005D2DF0">
        <w:rPr>
          <w:lang w:val="en-AU"/>
        </w:rPr>
        <w:t xml:space="preserve"> </w:t>
      </w:r>
      <w:r w:rsidR="005105DE" w:rsidRPr="005105DE">
        <w:t>(Nuñez et al. 2017</w:t>
      </w:r>
      <w:r w:rsidR="005105DE">
        <w:t>)</w:t>
      </w:r>
      <w:r w:rsidRPr="006C229E">
        <w:rPr>
          <w:lang w:val="en-AU"/>
        </w:rPr>
        <w:t>, but it was associated with more careful and systematic information-processing in a study involving a motor vehicle accident resulting in death</w:t>
      </w:r>
      <w:r w:rsidR="005105DE">
        <w:rPr>
          <w:lang w:val="en-AU"/>
        </w:rPr>
        <w:t xml:space="preserve"> </w:t>
      </w:r>
      <w:r w:rsidR="005105DE" w:rsidRPr="005105DE">
        <w:t>(Semmler and Brewer 2002</w:t>
      </w:r>
      <w:r w:rsidR="005105DE">
        <w:t>)</w:t>
      </w:r>
      <w:r w:rsidRPr="006C229E">
        <w:rPr>
          <w:lang w:val="en-AU"/>
        </w:rPr>
        <w:t>.</w:t>
      </w:r>
      <w:r w:rsidR="00521994">
        <w:rPr>
          <w:lang w:val="en-AU"/>
        </w:rPr>
        <w:t xml:space="preserve"> </w:t>
      </w:r>
      <w:r w:rsidRPr="006C229E">
        <w:rPr>
          <w:lang w:val="en-AU"/>
        </w:rPr>
        <w:t xml:space="preserve"> </w:t>
      </w:r>
    </w:p>
    <w:p w14:paraId="1E30FE7A" w14:textId="01D90590" w:rsidR="00A10EAD" w:rsidRPr="00A82DE9" w:rsidRDefault="00AA5AD8" w:rsidP="00521994">
      <w:pPr>
        <w:pStyle w:val="Newparagraph"/>
        <w:spacing w:line="276" w:lineRule="auto"/>
        <w:jc w:val="both"/>
        <w:rPr>
          <w:lang w:val="en-AU"/>
        </w:rPr>
      </w:pPr>
      <w:r>
        <w:rPr>
          <w:lang w:val="en-AU"/>
        </w:rPr>
        <w:t xml:space="preserve">There are good reasons to </w:t>
      </w:r>
      <w:r w:rsidR="00187849">
        <w:rPr>
          <w:lang w:val="en-AU"/>
        </w:rPr>
        <w:t>suppose</w:t>
      </w:r>
      <w:r>
        <w:rPr>
          <w:lang w:val="en-AU"/>
        </w:rPr>
        <w:t xml:space="preserve"> that statements recorded when police attend calls for assistance in domestic and family violence cases</w:t>
      </w:r>
      <w:r w:rsidR="000024F7">
        <w:rPr>
          <w:lang w:val="en-AU"/>
        </w:rPr>
        <w:t>, used</w:t>
      </w:r>
      <w:r w:rsidR="00E155B7">
        <w:rPr>
          <w:lang w:val="en-AU"/>
        </w:rPr>
        <w:t xml:space="preserve"> as a complainant’s evidence-in-chief</w:t>
      </w:r>
      <w:r w:rsidR="000024F7">
        <w:rPr>
          <w:lang w:val="en-AU"/>
        </w:rPr>
        <w:t>,</w:t>
      </w:r>
      <w:r w:rsidR="00E155B7">
        <w:rPr>
          <w:lang w:val="en-AU"/>
        </w:rPr>
        <w:t xml:space="preserve"> </w:t>
      </w:r>
      <w:r w:rsidR="00187849">
        <w:rPr>
          <w:lang w:val="en-AU"/>
        </w:rPr>
        <w:t>will</w:t>
      </w:r>
      <w:r w:rsidR="00E155B7">
        <w:rPr>
          <w:lang w:val="en-AU"/>
        </w:rPr>
        <w:t xml:space="preserve"> elicit stronger emotion responses from </w:t>
      </w:r>
      <w:proofErr w:type="gramStart"/>
      <w:r w:rsidR="00E155B7">
        <w:rPr>
          <w:lang w:val="en-AU"/>
        </w:rPr>
        <w:t>fact-finders</w:t>
      </w:r>
      <w:proofErr w:type="gramEnd"/>
      <w:r w:rsidR="00E155B7">
        <w:rPr>
          <w:lang w:val="en-AU"/>
        </w:rPr>
        <w:t xml:space="preserve"> than </w:t>
      </w:r>
      <w:r w:rsidR="00965BE0">
        <w:rPr>
          <w:lang w:val="en-AU"/>
        </w:rPr>
        <w:t xml:space="preserve">is the case when such evidence is presented in more traditional </w:t>
      </w:r>
      <w:proofErr w:type="gramStart"/>
      <w:r w:rsidR="00965BE0">
        <w:rPr>
          <w:lang w:val="en-AU"/>
        </w:rPr>
        <w:t xml:space="preserve">forms  </w:t>
      </w:r>
      <w:r w:rsidR="00E155B7">
        <w:rPr>
          <w:lang w:val="en-AU"/>
        </w:rPr>
        <w:t>–</w:t>
      </w:r>
      <w:proofErr w:type="gramEnd"/>
      <w:r w:rsidR="00E155B7">
        <w:rPr>
          <w:lang w:val="en-AU"/>
        </w:rPr>
        <w:t xml:space="preserve"> testimony and documentary evidence.</w:t>
      </w:r>
      <w:r w:rsidR="00187849">
        <w:rPr>
          <w:lang w:val="en-AU"/>
        </w:rPr>
        <w:t xml:space="preserve"> Citing views expressed by Swig (2010), Moore and Singh (</w:t>
      </w:r>
      <w:r w:rsidR="00EE6199">
        <w:rPr>
          <w:lang w:val="en-AU"/>
        </w:rPr>
        <w:t>2018)</w:t>
      </w:r>
      <w:r w:rsidR="00187849">
        <w:rPr>
          <w:lang w:val="en-AU"/>
        </w:rPr>
        <w:t xml:space="preserve"> suggest that </w:t>
      </w:r>
      <w:r w:rsidR="003376DF">
        <w:rPr>
          <w:lang w:val="en-AU"/>
        </w:rPr>
        <w:t>various assumptions are made about the power of such recordings.</w:t>
      </w:r>
      <w:r w:rsidR="00E155B7">
        <w:rPr>
          <w:lang w:val="en-AU"/>
        </w:rPr>
        <w:t xml:space="preserve"> </w:t>
      </w:r>
      <w:r w:rsidR="003376DF">
        <w:rPr>
          <w:lang w:val="en-AU"/>
        </w:rPr>
        <w:t xml:space="preserve">They transport viewers to the time and scene of the incident, allow them to see and hear the raw emotions of complainants, to visualise the occurrence of the event, and to engage with it on an emotive level. Empirical research suggests that such assumptions might be well-founded. </w:t>
      </w:r>
      <w:r w:rsidR="00965BE0">
        <w:rPr>
          <w:lang w:val="en-AU"/>
        </w:rPr>
        <w:t xml:space="preserve">It has been observed that compared to documentary and testimonial evidence, not only do images convey information differently, </w:t>
      </w:r>
      <w:proofErr w:type="gramStart"/>
      <w:r w:rsidR="00965BE0">
        <w:rPr>
          <w:lang w:val="en-AU"/>
        </w:rPr>
        <w:t>they</w:t>
      </w:r>
      <w:proofErr w:type="gramEnd"/>
      <w:r w:rsidR="00965BE0">
        <w:rPr>
          <w:lang w:val="en-AU"/>
        </w:rPr>
        <w:t xml:space="preserve"> convey different information (Bandes &amp; Salerno 2014)</w:t>
      </w:r>
      <w:r w:rsidR="0066389B">
        <w:rPr>
          <w:lang w:val="en-AU"/>
        </w:rPr>
        <w:t>.</w:t>
      </w:r>
      <w:r w:rsidR="00965BE0">
        <w:rPr>
          <w:lang w:val="en-AU"/>
        </w:rPr>
        <w:t xml:space="preserve"> </w:t>
      </w:r>
      <w:r w:rsidR="003376DF">
        <w:rPr>
          <w:lang w:val="en-AU"/>
        </w:rPr>
        <w:t xml:space="preserve">Studies have shown </w:t>
      </w:r>
      <w:r w:rsidR="006C229E" w:rsidRPr="006C229E">
        <w:rPr>
          <w:lang w:val="en-AU"/>
        </w:rPr>
        <w:t>that while both verbal and visual stimuli can elicit emotional responses, visual images tend to have a stronger impact</w:t>
      </w:r>
      <w:r w:rsidR="002A3AC1">
        <w:rPr>
          <w:lang w:val="en-AU"/>
        </w:rPr>
        <w:t xml:space="preserve"> </w:t>
      </w:r>
      <w:r w:rsidR="002A3AC1" w:rsidRPr="002A3AC1">
        <w:t>(Nuñez et al. 2016</w:t>
      </w:r>
      <w:r w:rsidR="002A3AC1">
        <w:t>)</w:t>
      </w:r>
      <w:r w:rsidR="006C229E" w:rsidRPr="006C229E">
        <w:rPr>
          <w:lang w:val="en-AU"/>
        </w:rPr>
        <w:t>, and audio-visual materials have particularly powerful and lasting effects on jurors</w:t>
      </w:r>
      <w:r w:rsidR="005A4C1D">
        <w:rPr>
          <w:lang w:val="en-AU"/>
        </w:rPr>
        <w:t xml:space="preserve"> </w:t>
      </w:r>
      <w:r w:rsidR="005A4C1D" w:rsidRPr="002A3AC1">
        <w:t>(Fernández-Aguilar et al. 2019</w:t>
      </w:r>
      <w:r w:rsidR="005A4C1D">
        <w:t>)</w:t>
      </w:r>
      <w:r w:rsidR="006C229E" w:rsidRPr="006C229E">
        <w:rPr>
          <w:lang w:val="en-AU"/>
        </w:rPr>
        <w:t xml:space="preserve">. </w:t>
      </w:r>
      <w:r w:rsidR="00521994">
        <w:rPr>
          <w:lang w:val="en-AU"/>
        </w:rPr>
        <w:t xml:space="preserve">In </w:t>
      </w:r>
      <w:r w:rsidR="000024F7">
        <w:rPr>
          <w:lang w:val="en-AU"/>
        </w:rPr>
        <w:t xml:space="preserve">line with </w:t>
      </w:r>
      <w:r w:rsidR="00521994">
        <w:rPr>
          <w:lang w:val="en-AU"/>
        </w:rPr>
        <w:t xml:space="preserve">this, </w:t>
      </w:r>
      <w:proofErr w:type="spellStart"/>
      <w:r w:rsidR="00521994">
        <w:t>Landström</w:t>
      </w:r>
      <w:proofErr w:type="spellEnd"/>
      <w:r w:rsidR="00521994">
        <w:t xml:space="preserve">, Ask, and Sommar (2019) found that presentations that are temporally and spatially proximate to the event – such as live or recorded statements viewed shortly after the incident – tend to evoke stronger feelings of compassion in viewers. </w:t>
      </w:r>
      <w:r w:rsidR="006C229E" w:rsidRPr="006C229E">
        <w:rPr>
          <w:lang w:val="en-AU"/>
        </w:rPr>
        <w:t>Jurors’ emotional reactions to such evidence may therefore shape, and even become central to</w:t>
      </w:r>
      <w:r w:rsidR="00A10EAD">
        <w:rPr>
          <w:lang w:val="en-AU"/>
        </w:rPr>
        <w:t>,</w:t>
      </w:r>
      <w:r w:rsidR="006C229E" w:rsidRPr="006C229E">
        <w:rPr>
          <w:lang w:val="en-AU"/>
        </w:rPr>
        <w:t xml:space="preserve"> the fact-finding process. </w:t>
      </w:r>
      <w:r w:rsidR="00A10EAD">
        <w:rPr>
          <w:lang w:val="en-AU"/>
        </w:rPr>
        <w:t xml:space="preserve">The evidential use of statements recorded in circumstances that are likely to provoke strong emotional responses from those who view them, is likely to become a more frequent </w:t>
      </w:r>
      <w:r w:rsidR="0058068D">
        <w:rPr>
          <w:lang w:val="en-AU"/>
        </w:rPr>
        <w:t>occurrence</w:t>
      </w:r>
      <w:r w:rsidR="00A10EAD">
        <w:rPr>
          <w:lang w:val="en-AU"/>
        </w:rPr>
        <w:t xml:space="preserve">.     </w:t>
      </w:r>
      <w:r w:rsidR="00A82DE9">
        <w:t>T</w:t>
      </w:r>
      <w:r w:rsidR="00A82DE9" w:rsidRPr="006C229E">
        <w:t>his raises an important question: how can we be confident that emotionally charged and emotionally evocative Domestic Violence Evidence-in-Chief serves the truth-finding process, rather than undermining it by introducing bias?</w:t>
      </w:r>
      <w:r w:rsidR="00A82DE9">
        <w:rPr>
          <w:lang w:val="en-AU"/>
        </w:rPr>
        <w:t xml:space="preserve"> </w:t>
      </w:r>
      <w:r w:rsidR="00A10EAD">
        <w:rPr>
          <w:lang w:val="en-AU"/>
        </w:rPr>
        <w:t xml:space="preserve">Bandes and Salerno </w:t>
      </w:r>
      <w:r w:rsidR="00A82DE9">
        <w:rPr>
          <w:lang w:val="en-AU"/>
        </w:rPr>
        <w:t xml:space="preserve">argue that </w:t>
      </w:r>
      <w:r w:rsidR="00A10EAD" w:rsidRPr="008029DC">
        <w:t>an approach that “overlooks affective influences is likely to be particularly poorly equipped to evaluate the probative value or prejudicial effects of modern forms of evidence”</w:t>
      </w:r>
      <w:r w:rsidR="00A82DE9">
        <w:t xml:space="preserve"> (Bandes &amp; Salerno, 2014: 1009). </w:t>
      </w:r>
      <w:r w:rsidR="00A10EAD" w:rsidRPr="008029DC">
        <w:t xml:space="preserve">Consideration needs to be given to the way in which </w:t>
      </w:r>
      <w:r w:rsidR="00A82DE9" w:rsidRPr="008029DC">
        <w:t>this form of</w:t>
      </w:r>
      <w:r w:rsidR="00A10EAD" w:rsidRPr="008029DC">
        <w:t xml:space="preserve"> evidence conveys information, the emotion it is likely to </w:t>
      </w:r>
      <w:r w:rsidR="00A82DE9" w:rsidRPr="008029DC">
        <w:t>provoke</w:t>
      </w:r>
      <w:r w:rsidR="00A10EAD" w:rsidRPr="008029DC">
        <w:t xml:space="preserve"> in the </w:t>
      </w:r>
      <w:proofErr w:type="gramStart"/>
      <w:r w:rsidR="00A10EAD" w:rsidRPr="008029DC">
        <w:t>fact-finder</w:t>
      </w:r>
      <w:proofErr w:type="gramEnd"/>
      <w:r w:rsidR="00A10EAD" w:rsidRPr="008029DC">
        <w:t>, and the effect that this is likely to have on evaluation of the evidence.</w:t>
      </w:r>
    </w:p>
    <w:p w14:paraId="49E44C5C" w14:textId="77777777" w:rsidR="0066389B" w:rsidRDefault="0066389B" w:rsidP="008029DC">
      <w:pPr>
        <w:pStyle w:val="Newparagraph"/>
        <w:spacing w:line="276" w:lineRule="auto"/>
        <w:ind w:firstLine="0"/>
        <w:jc w:val="both"/>
        <w:rPr>
          <w:lang w:val="en-AU"/>
        </w:rPr>
      </w:pPr>
    </w:p>
    <w:p w14:paraId="3714BC99" w14:textId="77777777" w:rsidR="006C229E" w:rsidRPr="006C229E" w:rsidRDefault="006C229E" w:rsidP="00AA5AD8">
      <w:pPr>
        <w:pStyle w:val="Heading1"/>
        <w:spacing w:line="276" w:lineRule="auto"/>
        <w:jc w:val="both"/>
      </w:pPr>
      <w:r w:rsidRPr="006C229E">
        <w:t>Practical Responses: What is Done and What can be Done</w:t>
      </w:r>
    </w:p>
    <w:p w14:paraId="31940B54" w14:textId="2F3FD160" w:rsidR="006C229E" w:rsidRPr="006C229E" w:rsidRDefault="00731EC2" w:rsidP="00AA5AD8">
      <w:pPr>
        <w:pStyle w:val="Paragraph"/>
        <w:spacing w:line="276" w:lineRule="auto"/>
        <w:jc w:val="both"/>
      </w:pPr>
      <w:r>
        <w:t xml:space="preserve"> In jury trials, t</w:t>
      </w:r>
      <w:r w:rsidR="006C229E" w:rsidRPr="006C229E">
        <w:t xml:space="preserve">o counteract the influence of emotion on juror decision-making, the justice </w:t>
      </w:r>
      <w:r w:rsidR="006C229E" w:rsidRPr="006C229E">
        <w:lastRenderedPageBreak/>
        <w:t xml:space="preserve">system has relied on various procedural safeguards – primarily judicial instructions. Judges typically provide such directions during the summing-up of the trial, just before jury deliberation. A common example instructs jurors that they: ‘must not let sympathy or emotion sway </w:t>
      </w:r>
      <w:r w:rsidR="006E2431">
        <w:t>(</w:t>
      </w:r>
      <w:r w:rsidR="006C229E" w:rsidRPr="006C229E">
        <w:t>their</w:t>
      </w:r>
      <w:r w:rsidR="006E2431">
        <w:t>)</w:t>
      </w:r>
      <w:r w:rsidR="006C229E" w:rsidRPr="006C229E">
        <w:t xml:space="preserve"> judgment’</w:t>
      </w:r>
      <w:r w:rsidR="00E51E09" w:rsidRPr="00E51E09">
        <w:rPr>
          <w:rFonts w:ascii="-webkit-standard" w:hAnsi="-webkit-standard"/>
          <w:color w:val="000000"/>
          <w:sz w:val="27"/>
          <w:szCs w:val="27"/>
        </w:rPr>
        <w:t xml:space="preserve"> </w:t>
      </w:r>
      <w:r w:rsidR="00E51E09" w:rsidRPr="00E51E09">
        <w:t>(Judicial Commission of NSW 2024)</w:t>
      </w:r>
      <w:r w:rsidR="00E51E09">
        <w:t>.</w:t>
      </w:r>
    </w:p>
    <w:p w14:paraId="178375E0" w14:textId="1D753FB3" w:rsidR="006C229E" w:rsidRPr="006C229E" w:rsidRDefault="006C229E" w:rsidP="00AA5AD8">
      <w:pPr>
        <w:pStyle w:val="Newparagraph"/>
        <w:spacing w:line="276" w:lineRule="auto"/>
        <w:jc w:val="both"/>
      </w:pPr>
      <w:r w:rsidRPr="006C229E">
        <w:t>These instructions rest on the assumption that emotion disrupts or substitutes logical reasoning, and that it can be consciously set aside</w:t>
      </w:r>
      <w:r w:rsidR="00E51E09">
        <w:t xml:space="preserve"> </w:t>
      </w:r>
      <w:r w:rsidR="00E51E09" w:rsidRPr="00E51E09">
        <w:t>(Bandes and Salerno 2014</w:t>
      </w:r>
      <w:r w:rsidR="00E51E09">
        <w:t>)</w:t>
      </w:r>
      <w:r w:rsidRPr="006C229E">
        <w:t>. However, this rationale is increasingly challenged by cognitive science research, which shows that emotion and cognition are closely intertwined, also at a neural level</w:t>
      </w:r>
      <w:r w:rsidR="000F3464">
        <w:t xml:space="preserve"> </w:t>
      </w:r>
      <w:r w:rsidR="000F3464" w:rsidRPr="000F3464">
        <w:t>(Pessoa 2008</w:t>
      </w:r>
      <w:r w:rsidR="000F3464">
        <w:t>)</w:t>
      </w:r>
      <w:r w:rsidRPr="006C229E">
        <w:t>. For instance, individuals with brain damage to regions responsible for emotional processing often exhibit impaired decision-making abilities, suggesting that emotions are essential to reasoning</w:t>
      </w:r>
      <w:r w:rsidR="000F3464">
        <w:t xml:space="preserve"> </w:t>
      </w:r>
      <w:r w:rsidR="000F3464" w:rsidRPr="000F3464">
        <w:t>(Damásio 2005</w:t>
      </w:r>
      <w:r w:rsidR="000F3464">
        <w:t>)</w:t>
      </w:r>
      <w:r w:rsidRPr="006C229E">
        <w:t>. Emotional processing cannot be easily turned off; we necessarily and unconsciously rely on it to screen, organise, and prioritise information</w:t>
      </w:r>
      <w:r w:rsidR="007C3750">
        <w:t xml:space="preserve"> </w:t>
      </w:r>
      <w:r w:rsidR="007C3750" w:rsidRPr="007C3750">
        <w:t>(Bandes and Salerno 2014</w:t>
      </w:r>
      <w:r w:rsidR="007C3750">
        <w:t>)</w:t>
      </w:r>
      <w:r w:rsidRPr="006C229E">
        <w:t>. As such, expecting jurors to suppress their emotions when evaluating evidence is unrealistic</w:t>
      </w:r>
      <w:r w:rsidR="007C3750">
        <w:t xml:space="preserve"> </w:t>
      </w:r>
      <w:r w:rsidR="007C3750" w:rsidRPr="007C3750">
        <w:t xml:space="preserve">(Ask and </w:t>
      </w:r>
      <w:proofErr w:type="spellStart"/>
      <w:r w:rsidR="007C3750" w:rsidRPr="007C3750">
        <w:t>Landström</w:t>
      </w:r>
      <w:proofErr w:type="spellEnd"/>
      <w:r w:rsidR="007C3750" w:rsidRPr="007C3750">
        <w:t xml:space="preserve"> 2010)</w:t>
      </w:r>
      <w:r w:rsidRPr="006C229E">
        <w:t>, with efforts being ineffective, and sometimes even amplifying their effect</w:t>
      </w:r>
      <w:r w:rsidR="005571D9">
        <w:t xml:space="preserve"> </w:t>
      </w:r>
      <w:r w:rsidR="005571D9" w:rsidRPr="005571D9">
        <w:t>(Salerno 2021</w:t>
      </w:r>
      <w:r w:rsidR="005571D9">
        <w:t>).</w:t>
      </w:r>
      <w:r w:rsidRPr="006C229E">
        <w:t xml:space="preserve"> </w:t>
      </w:r>
    </w:p>
    <w:p w14:paraId="294DDC7B" w14:textId="16DD7C43" w:rsidR="006C229E" w:rsidRPr="006C229E" w:rsidRDefault="006C229E" w:rsidP="00AA5AD8">
      <w:pPr>
        <w:pStyle w:val="Newparagraph"/>
        <w:spacing w:line="276" w:lineRule="auto"/>
        <w:jc w:val="both"/>
        <w:rPr>
          <w:lang w:val="en-US"/>
        </w:rPr>
      </w:pPr>
      <w:r w:rsidRPr="006C229E">
        <w:t>Some judicial directions attempt to account for emotional variability in responses to Domestic and Family Violence. Section 60 of the Jury Directions Act 2015 (Vic), for instance, instructs jurors that ‘</w:t>
      </w:r>
      <w:r w:rsidRPr="006C229E">
        <w:rPr>
          <w:lang w:val="en-US"/>
        </w:rPr>
        <w:t>people may react differently to family violence and there is no typical, proper or normal response to family violence</w:t>
      </w:r>
      <w:r w:rsidR="001B72FC" w:rsidRPr="006C229E">
        <w:rPr>
          <w:lang w:val="en-AU"/>
        </w:rPr>
        <w:t>’</w:t>
      </w:r>
      <w:r w:rsidR="001B72FC" w:rsidRPr="00166A6B">
        <w:t xml:space="preserve"> (</w:t>
      </w:r>
      <w:r w:rsidR="00166A6B" w:rsidRPr="00166A6B">
        <w:t xml:space="preserve">Jury Directions Act 2015 </w:t>
      </w:r>
      <w:r w:rsidR="006E2431">
        <w:t>(</w:t>
      </w:r>
      <w:r w:rsidR="00166A6B" w:rsidRPr="00166A6B">
        <w:t>Vic</w:t>
      </w:r>
      <w:r w:rsidR="006E2431">
        <w:t>)</w:t>
      </w:r>
      <w:r w:rsidR="00166A6B" w:rsidRPr="00166A6B">
        <w:t>, s 60</w:t>
      </w:r>
      <w:r w:rsidR="006E2431">
        <w:t>(</w:t>
      </w:r>
      <w:r w:rsidR="00166A6B" w:rsidRPr="00166A6B">
        <w:t>b</w:t>
      </w:r>
      <w:r w:rsidR="006E2431">
        <w:t>)(</w:t>
      </w:r>
      <w:proofErr w:type="spellStart"/>
      <w:r w:rsidR="00166A6B" w:rsidRPr="00166A6B">
        <w:t>i</w:t>
      </w:r>
      <w:proofErr w:type="spellEnd"/>
      <w:r w:rsidR="006E2431">
        <w:t>)</w:t>
      </w:r>
      <w:r w:rsidR="00166A6B" w:rsidRPr="00166A6B">
        <w:t>)</w:t>
      </w:r>
      <w:r w:rsidRPr="006C229E">
        <w:rPr>
          <w:lang w:val="en-AU"/>
        </w:rPr>
        <w:t>. Similarly, the Queensland Supreme and District Court Bench Book advises that jurors: ‘must ignore any feelings of sympathy for, or prejudice against, the defendant or anyone else connected in any way to this trial. Emotion is to play no part in their deliberations’</w:t>
      </w:r>
      <w:r w:rsidR="001D5DDC">
        <w:rPr>
          <w:lang w:val="en-AU"/>
        </w:rPr>
        <w:t xml:space="preserve"> </w:t>
      </w:r>
      <w:r w:rsidR="001D5DDC" w:rsidRPr="001D5DDC">
        <w:t>(Queensland Courts 2017)</w:t>
      </w:r>
      <w:r w:rsidRPr="006C229E">
        <w:rPr>
          <w:lang w:val="en-AU"/>
        </w:rPr>
        <w:t>.</w:t>
      </w:r>
    </w:p>
    <w:p w14:paraId="2B1026D0" w14:textId="597D045D" w:rsidR="006C229E" w:rsidRPr="006C229E" w:rsidRDefault="006C229E" w:rsidP="00AA5AD8">
      <w:pPr>
        <w:pStyle w:val="Newparagraph"/>
        <w:spacing w:line="276" w:lineRule="auto"/>
        <w:jc w:val="both"/>
      </w:pPr>
      <w:r w:rsidRPr="006C229E">
        <w:t>Despite these efforts, the empirical evidence supporting the effectiveness of judicial instructions remains limited. While most research has focused on sexual assault cases, the findings are not encouraging</w:t>
      </w:r>
      <w:r w:rsidR="00B75A1C">
        <w:t xml:space="preserve"> </w:t>
      </w:r>
      <w:r w:rsidR="00B75A1C" w:rsidRPr="00B75A1C">
        <w:t>(Nitschke and McKimmie 2024</w:t>
      </w:r>
      <w:r w:rsidR="00B75A1C">
        <w:t>)</w:t>
      </w:r>
      <w:r w:rsidRPr="006C229E">
        <w:t xml:space="preserve">. One study examining </w:t>
      </w:r>
      <w:r w:rsidRPr="006C229E">
        <w:rPr>
          <w:lang w:val="en-AU"/>
        </w:rPr>
        <w:t xml:space="preserve">the Emotional Victim Effect in a mock sexual assault trial compared three types of judicial directions: standard witness instructions from the Queensland Supreme and District Court </w:t>
      </w:r>
      <w:proofErr w:type="spellStart"/>
      <w:r w:rsidRPr="006C229E">
        <w:rPr>
          <w:lang w:val="en-AU"/>
        </w:rPr>
        <w:t>Benchbook</w:t>
      </w:r>
      <w:proofErr w:type="spellEnd"/>
      <w:r w:rsidR="00B75A1C">
        <w:rPr>
          <w:lang w:val="en-AU"/>
        </w:rPr>
        <w:t xml:space="preserve"> </w:t>
      </w:r>
      <w:r w:rsidR="00B75A1C" w:rsidRPr="00B75A1C">
        <w:t>(Queensland Courts 2017)</w:t>
      </w:r>
      <w:r w:rsidRPr="006C229E">
        <w:rPr>
          <w:lang w:val="en-AU"/>
        </w:rPr>
        <w:t>; educational instructions addressing stereotypes about sexual assault victims; and educational instructions explaining the trauma sexual assault victims may undergo, including symptoms and coping strategies</w:t>
      </w:r>
      <w:r w:rsidR="00CF5DF2">
        <w:rPr>
          <w:lang w:val="en-AU"/>
        </w:rPr>
        <w:t xml:space="preserve"> </w:t>
      </w:r>
      <w:r w:rsidR="00CF5DF2" w:rsidRPr="00CF5DF2">
        <w:t>(Nitschke, McKimmie, and Vanman 2023</w:t>
      </w:r>
      <w:r w:rsidR="00CF5DF2">
        <w:t>)</w:t>
      </w:r>
      <w:r w:rsidRPr="006C229E">
        <w:rPr>
          <w:lang w:val="en-AU"/>
        </w:rPr>
        <w:t>. Although both the standard and educational trauma instructions reduced juror reliance on the complainant’s emotional expression when assessing credibility, they also made jurors evaluate the complainant more negatively overall, regardless of their emotional display</w:t>
      </w:r>
      <w:r w:rsidR="00CF5DF2">
        <w:rPr>
          <w:lang w:val="en-AU"/>
        </w:rPr>
        <w:t xml:space="preserve"> </w:t>
      </w:r>
      <w:r w:rsidR="00CF5DF2" w:rsidRPr="00CF5DF2">
        <w:t>(Nitschke, McKimmie, and Vanman 2023</w:t>
      </w:r>
      <w:r w:rsidR="00CF5DF2">
        <w:t>)</w:t>
      </w:r>
      <w:r w:rsidRPr="006C229E">
        <w:rPr>
          <w:lang w:val="en-AU"/>
        </w:rPr>
        <w:t>. This suggests that while certain instructions might help mitigate emotional bias, they might also make jurors more sceptical of the complainant in general, which is highly problematic.</w:t>
      </w:r>
    </w:p>
    <w:p w14:paraId="25ADC205" w14:textId="08AA86CB" w:rsidR="006C229E" w:rsidRPr="006C229E" w:rsidRDefault="006C229E" w:rsidP="00FE383B">
      <w:pPr>
        <w:pStyle w:val="Newparagraph"/>
        <w:spacing w:line="276" w:lineRule="auto"/>
        <w:jc w:val="both"/>
      </w:pPr>
      <w:r w:rsidRPr="006C229E">
        <w:t xml:space="preserve">So far, however, no studies have examined whether similar educational instructions could assist jurors in evaluating the emotional content of Domestic Violence Evidence-in-Chief. In this context, directions could be developed that explicitly explain how emotional responses – both in the complainant and the viewer – can influence decision-making. These instructions might encourage jurors to recognise and monitor their own emotional reactions, and to actively try to counteract their influence on evidence </w:t>
      </w:r>
      <w:r w:rsidRPr="006C229E">
        <w:lastRenderedPageBreak/>
        <w:t>evaluation</w:t>
      </w:r>
      <w:r w:rsidR="00883461">
        <w:t xml:space="preserve"> </w:t>
      </w:r>
      <w:r w:rsidR="00883461" w:rsidRPr="00883461">
        <w:t>(Salerno 2021</w:t>
      </w:r>
      <w:r w:rsidR="00883461">
        <w:t>)</w:t>
      </w:r>
      <w:r w:rsidRPr="006C229E">
        <w:t xml:space="preserve">. </w:t>
      </w:r>
      <w:r w:rsidR="00FE383B">
        <w:t xml:space="preserve">We are not aware of any jurisdiction in which such warnings have been adopted. Development of </w:t>
      </w:r>
      <w:r w:rsidRPr="006C229E">
        <w:t>such directions requires empirical insight into</w:t>
      </w:r>
      <w:r w:rsidRPr="006C229E">
        <w:rPr>
          <w:lang w:val="en-AU"/>
        </w:rPr>
        <w:t xml:space="preserve"> how emotionality in videorecorded evidence shapes credibility assessments and decision-making</w:t>
      </w:r>
      <w:r w:rsidR="00FE383B">
        <w:rPr>
          <w:lang w:val="en-AU"/>
        </w:rPr>
        <w:t>. This</w:t>
      </w:r>
      <w:r w:rsidRPr="006C229E">
        <w:rPr>
          <w:lang w:val="en-AU"/>
        </w:rPr>
        <w:t xml:space="preserve"> is currently lacking. </w:t>
      </w:r>
      <w:r w:rsidRPr="006C229E">
        <w:t>Further research into the mechanisms underlying the Emotional Victim Effect is also necessary, as this is crucial to understand how to avoid or counteract the effect</w:t>
      </w:r>
      <w:r w:rsidR="00883461">
        <w:t xml:space="preserve"> </w:t>
      </w:r>
      <w:r w:rsidR="00883461" w:rsidRPr="00CF5DF2">
        <w:t>(Nitschke, McKimmie, and Vanman 2023</w:t>
      </w:r>
      <w:r w:rsidR="00883461">
        <w:t>)</w:t>
      </w:r>
      <w:r w:rsidRPr="006C229E">
        <w:t xml:space="preserve">. </w:t>
      </w:r>
    </w:p>
    <w:p w14:paraId="15F90619" w14:textId="1101D2B2" w:rsidR="006C229E" w:rsidRPr="006C229E" w:rsidRDefault="006C229E" w:rsidP="00AA5AD8">
      <w:pPr>
        <w:pStyle w:val="Newparagraph"/>
        <w:spacing w:line="276" w:lineRule="auto"/>
        <w:jc w:val="both"/>
        <w:rPr>
          <w:lang w:val="en-AU"/>
        </w:rPr>
      </w:pPr>
      <w:r w:rsidRPr="006C229E">
        <w:rPr>
          <w:lang w:val="en-AU"/>
        </w:rPr>
        <w:t xml:space="preserve">Even if judicial instructions could help reduce emotional bias, a deeper concern </w:t>
      </w:r>
      <w:proofErr w:type="gramStart"/>
      <w:r w:rsidRPr="006C229E">
        <w:rPr>
          <w:lang w:val="en-AU"/>
        </w:rPr>
        <w:t>remains:</w:t>
      </w:r>
      <w:proofErr w:type="gramEnd"/>
      <w:r w:rsidRPr="006C229E">
        <w:rPr>
          <w:lang w:val="en-AU"/>
        </w:rPr>
        <w:t xml:space="preserve"> jurors may respond emotionally to the complainant’s demeanour in a way that influences their reasoning</w:t>
      </w:r>
      <w:r w:rsidR="00064C95">
        <w:rPr>
          <w:lang w:val="en-AU"/>
        </w:rPr>
        <w:t xml:space="preserve"> </w:t>
      </w:r>
      <w:r w:rsidR="00064C95" w:rsidRPr="00064C95">
        <w:t>(Kaufmann et al. 2003</w:t>
      </w:r>
      <w:r w:rsidR="00064C95">
        <w:t>)</w:t>
      </w:r>
      <w:r w:rsidRPr="006C229E">
        <w:rPr>
          <w:lang w:val="en-AU"/>
        </w:rPr>
        <w:t xml:space="preserve">. The Australian Law Reform Commission has </w:t>
      </w:r>
      <w:r w:rsidRPr="006C229E">
        <w:t>recognised</w:t>
      </w:r>
      <w:r w:rsidRPr="006C229E">
        <w:rPr>
          <w:lang w:val="en-AU"/>
        </w:rPr>
        <w:t xml:space="preserve"> this risk, warning that emotionally charged evidence may lead </w:t>
      </w:r>
      <w:proofErr w:type="gramStart"/>
      <w:r w:rsidRPr="006C229E">
        <w:rPr>
          <w:lang w:val="en-AU"/>
        </w:rPr>
        <w:t>fact-finders</w:t>
      </w:r>
      <w:proofErr w:type="gramEnd"/>
      <w:r w:rsidRPr="006C229E">
        <w:rPr>
          <w:lang w:val="en-AU"/>
        </w:rPr>
        <w:t xml:space="preserve"> to base their decisions on factors ‘logically unconnected with the issues in the case’, such as sympathy, horror, or an instinct to punish</w:t>
      </w:r>
      <w:r w:rsidR="00064C95">
        <w:rPr>
          <w:lang w:val="en-AU"/>
        </w:rPr>
        <w:t xml:space="preserve"> </w:t>
      </w:r>
      <w:r w:rsidR="00064C95" w:rsidRPr="00064C95">
        <w:t>(Australian Law Reform Commission 1985</w:t>
      </w:r>
      <w:r w:rsidR="00064C95">
        <w:t>,</w:t>
      </w:r>
      <w:r w:rsidR="00BF7252">
        <w:t xml:space="preserve"> [644]</w:t>
      </w:r>
      <w:r w:rsidR="00064C95">
        <w:t>)</w:t>
      </w:r>
      <w:r w:rsidRPr="006C229E">
        <w:rPr>
          <w:lang w:val="en-AU"/>
        </w:rPr>
        <w:t xml:space="preserve">. Where such emotional influence is likely, the use of video-recorded evidence-in-chief may be inappropriate, as it risks undermining rational fact-finding. </w:t>
      </w:r>
    </w:p>
    <w:p w14:paraId="0051AED5" w14:textId="7262E977" w:rsidR="00B2672C" w:rsidRPr="006C229E" w:rsidRDefault="006C229E" w:rsidP="0068737A">
      <w:pPr>
        <w:pStyle w:val="Newparagraph"/>
        <w:spacing w:line="276" w:lineRule="auto"/>
        <w:jc w:val="both"/>
      </w:pPr>
      <w:proofErr w:type="gramStart"/>
      <w:r w:rsidRPr="006C229E">
        <w:rPr>
          <w:lang w:val="en-AU"/>
        </w:rPr>
        <w:t>In light of</w:t>
      </w:r>
      <w:proofErr w:type="gramEnd"/>
      <w:r w:rsidRPr="006C229E">
        <w:rPr>
          <w:lang w:val="en-AU"/>
        </w:rPr>
        <w:t xml:space="preserve"> these risks, another</w:t>
      </w:r>
      <w:r w:rsidRPr="006C229E">
        <w:t xml:space="preserve"> approach </w:t>
      </w:r>
      <w:r w:rsidR="006841DA">
        <w:rPr>
          <w:lang w:val="en-AU"/>
        </w:rPr>
        <w:t xml:space="preserve">in a jury trial </w:t>
      </w:r>
      <w:r w:rsidRPr="006C229E">
        <w:t xml:space="preserve">could be to </w:t>
      </w:r>
      <w:r w:rsidR="008E4AF2">
        <w:t xml:space="preserve">exclude </w:t>
      </w:r>
      <w:r w:rsidRPr="006C229E">
        <w:t xml:space="preserve">highly emotionally charged evidence. </w:t>
      </w:r>
      <w:r w:rsidR="00786FB2">
        <w:t xml:space="preserve">The exclusionary provisions of the uniform evidence legislation require judges to </w:t>
      </w:r>
      <w:r w:rsidRPr="006C229E">
        <w:t xml:space="preserve">exclude </w:t>
      </w:r>
      <w:r w:rsidR="00786FB2">
        <w:t xml:space="preserve">prosecution </w:t>
      </w:r>
      <w:r w:rsidRPr="006C229E">
        <w:t xml:space="preserve">evidence if the risk of </w:t>
      </w:r>
      <w:r w:rsidR="00786FB2">
        <w:t xml:space="preserve">unfair </w:t>
      </w:r>
      <w:r w:rsidRPr="006C229E">
        <w:t>prejudic</w:t>
      </w:r>
      <w:r w:rsidR="00786FB2">
        <w:t xml:space="preserve">e – for example, </w:t>
      </w:r>
      <w:r w:rsidR="00D52926">
        <w:t>where evidence ‘</w:t>
      </w:r>
      <w:r w:rsidR="00303BAF">
        <w:t>engenders such antipathy towards the accused that the fact-finder is unwilling to give them the benefit of any reasonable doubt’ (Palmer 1994: 171)</w:t>
      </w:r>
      <w:r w:rsidRPr="006C229E" w:rsidDel="6A64E8C6">
        <w:t xml:space="preserve"> </w:t>
      </w:r>
      <w:r w:rsidR="00303BAF">
        <w:t xml:space="preserve">– </w:t>
      </w:r>
      <w:r w:rsidRPr="006C229E">
        <w:t>outweighs its probative value</w:t>
      </w:r>
      <w:r w:rsidR="00EA6AEC">
        <w:t xml:space="preserve"> </w:t>
      </w:r>
      <w:r w:rsidR="00EA6AEC" w:rsidRPr="00EA6AEC">
        <w:t xml:space="preserve">(Evidence Act 1995 </w:t>
      </w:r>
      <w:r w:rsidR="00786FB2">
        <w:t>(</w:t>
      </w:r>
      <w:r w:rsidR="00EA6AEC" w:rsidRPr="00EA6AEC">
        <w:t>NSW</w:t>
      </w:r>
      <w:r w:rsidR="00786FB2">
        <w:t>)</w:t>
      </w:r>
      <w:r w:rsidR="00EA6AEC" w:rsidRPr="00EA6AEC">
        <w:t>, s 137)</w:t>
      </w:r>
      <w:r w:rsidRPr="006C229E">
        <w:t>. This is particularly relevant where emotional evidence affects fact-finder’s decisions because of their emotional reactions to it</w:t>
      </w:r>
      <w:r w:rsidR="00EA6AEC">
        <w:t xml:space="preserve"> </w:t>
      </w:r>
      <w:r w:rsidR="00EA6AEC" w:rsidRPr="00EA6AEC">
        <w:t>(Salerno 2021</w:t>
      </w:r>
      <w:r w:rsidR="00EA6AEC">
        <w:t>)</w:t>
      </w:r>
      <w:r w:rsidRPr="006C229E">
        <w:t xml:space="preserve">. However, </w:t>
      </w:r>
      <w:r w:rsidR="00303BAF">
        <w:t xml:space="preserve">the application of this exclusionary provision </w:t>
      </w:r>
      <w:r w:rsidRPr="006C229E">
        <w:t>to Domestic Violence Evidence-in-Chief would be difficult, as assessing whether a recording is more prejudicial than probative would require being able to anticipate the nature and intensity of the emotional responses it might provoke in jurors, and whether those responses could improperly influence their decision-making. This is a complex psychological judgement that would challenge even trained experts</w:t>
      </w:r>
      <w:r w:rsidR="00EA6AEC">
        <w:t xml:space="preserve"> </w:t>
      </w:r>
      <w:r w:rsidR="00EA6AEC" w:rsidRPr="00EA6AEC">
        <w:t>(Salerno 2021</w:t>
      </w:r>
      <w:r w:rsidR="00EA6AEC">
        <w:t>)</w:t>
      </w:r>
      <w:r w:rsidRPr="006C229E">
        <w:t>.</w:t>
      </w:r>
      <w:r w:rsidR="006841DA">
        <w:t xml:space="preserve"> In the absence of a clear understanding of the nature of emotion and the way in which it affects the reasoning process, appellate courts are likely to take the view that the risk of unfair prejudice can be addressed by a strong warning to the jury about the need to set emotion aside, however ineffective that warning might be.</w:t>
      </w:r>
    </w:p>
    <w:p w14:paraId="19E9292F" w14:textId="68B47A60" w:rsidR="006C229E" w:rsidRPr="006C229E" w:rsidRDefault="006C229E" w:rsidP="00AA5AD8">
      <w:pPr>
        <w:pStyle w:val="Newparagraph"/>
        <w:spacing w:line="276" w:lineRule="auto"/>
        <w:jc w:val="both"/>
      </w:pPr>
      <w:r w:rsidRPr="006C229E">
        <w:t xml:space="preserve">These issues highlight the urgent need for empirical research to inform effective, evidence-based strategies to ensure that Domestic Violence Evidence-in-Chief supports, rather than undermines, fair and rational fact-finding. </w:t>
      </w:r>
    </w:p>
    <w:p w14:paraId="20DDAD25" w14:textId="77777777" w:rsidR="006C229E" w:rsidRPr="006C229E" w:rsidRDefault="006C229E" w:rsidP="00AA5AD8">
      <w:pPr>
        <w:pStyle w:val="Heading1"/>
        <w:spacing w:line="276" w:lineRule="auto"/>
        <w:jc w:val="both"/>
      </w:pPr>
      <w:r w:rsidRPr="006C229E">
        <w:t>Concluding Thoughts</w:t>
      </w:r>
    </w:p>
    <w:p w14:paraId="73481957" w14:textId="4E8851D8" w:rsidR="006C229E" w:rsidRPr="006C229E" w:rsidRDefault="006C229E" w:rsidP="00AA5AD8">
      <w:pPr>
        <w:pStyle w:val="Paragraph"/>
        <w:spacing w:line="276" w:lineRule="auto"/>
        <w:jc w:val="both"/>
        <w:rPr>
          <w:lang w:val="en-AU"/>
        </w:rPr>
      </w:pPr>
      <w:r w:rsidRPr="006C229E">
        <w:rPr>
          <w:lang w:val="en-US"/>
        </w:rPr>
        <w:t>D</w:t>
      </w:r>
      <w:proofErr w:type="spellStart"/>
      <w:r w:rsidRPr="006C229E">
        <w:rPr>
          <w:lang w:val="en-AU"/>
        </w:rPr>
        <w:t>omestic</w:t>
      </w:r>
      <w:proofErr w:type="spellEnd"/>
      <w:r w:rsidRPr="006C229E">
        <w:rPr>
          <w:lang w:val="en-AU"/>
        </w:rPr>
        <w:t xml:space="preserve"> </w:t>
      </w:r>
      <w:r w:rsidRPr="006C229E">
        <w:rPr>
          <w:lang w:val="en-US"/>
        </w:rPr>
        <w:t>V</w:t>
      </w:r>
      <w:proofErr w:type="spellStart"/>
      <w:r w:rsidRPr="006C229E">
        <w:rPr>
          <w:lang w:val="en-AU"/>
        </w:rPr>
        <w:t>iolence</w:t>
      </w:r>
      <w:proofErr w:type="spellEnd"/>
      <w:r w:rsidRPr="006C229E">
        <w:rPr>
          <w:lang w:val="en-AU"/>
        </w:rPr>
        <w:t xml:space="preserve"> </w:t>
      </w:r>
      <w:r w:rsidRPr="006C229E">
        <w:rPr>
          <w:lang w:val="en-US"/>
        </w:rPr>
        <w:t>E</w:t>
      </w:r>
      <w:proofErr w:type="spellStart"/>
      <w:r w:rsidRPr="006C229E">
        <w:rPr>
          <w:lang w:val="en-AU"/>
        </w:rPr>
        <w:t>vidence</w:t>
      </w:r>
      <w:proofErr w:type="spellEnd"/>
      <w:r w:rsidRPr="006C229E">
        <w:rPr>
          <w:lang w:val="en-AU"/>
        </w:rPr>
        <w:t>-in-</w:t>
      </w:r>
      <w:r w:rsidRPr="006C229E">
        <w:rPr>
          <w:lang w:val="en-US"/>
        </w:rPr>
        <w:t>C</w:t>
      </w:r>
      <w:proofErr w:type="spellStart"/>
      <w:r w:rsidRPr="006C229E">
        <w:rPr>
          <w:lang w:val="en-AU"/>
        </w:rPr>
        <w:t>hief</w:t>
      </w:r>
      <w:proofErr w:type="spellEnd"/>
      <w:r w:rsidRPr="006C229E">
        <w:rPr>
          <w:lang w:val="en-US"/>
        </w:rPr>
        <w:t xml:space="preserve"> </w:t>
      </w:r>
      <w:r w:rsidRPr="006C229E">
        <w:rPr>
          <w:lang w:val="en-AU"/>
        </w:rPr>
        <w:t>represents</w:t>
      </w:r>
      <w:r w:rsidRPr="006C229E">
        <w:rPr>
          <w:lang w:val="en-US"/>
        </w:rPr>
        <w:t xml:space="preserve"> a promising innovation in D</w:t>
      </w:r>
      <w:proofErr w:type="spellStart"/>
      <w:r w:rsidRPr="006C229E">
        <w:rPr>
          <w:lang w:val="en-AU"/>
        </w:rPr>
        <w:t>omestic</w:t>
      </w:r>
      <w:proofErr w:type="spellEnd"/>
      <w:r w:rsidRPr="006C229E">
        <w:rPr>
          <w:lang w:val="en-AU"/>
        </w:rPr>
        <w:t xml:space="preserve"> and </w:t>
      </w:r>
      <w:r w:rsidRPr="006C229E">
        <w:rPr>
          <w:lang w:val="en-US"/>
        </w:rPr>
        <w:t>F</w:t>
      </w:r>
      <w:proofErr w:type="spellStart"/>
      <w:r w:rsidRPr="006C229E">
        <w:rPr>
          <w:lang w:val="en-AU"/>
        </w:rPr>
        <w:t>amily</w:t>
      </w:r>
      <w:proofErr w:type="spellEnd"/>
      <w:r w:rsidRPr="006C229E">
        <w:rPr>
          <w:lang w:val="en-AU"/>
        </w:rPr>
        <w:t xml:space="preserve"> </w:t>
      </w:r>
      <w:r w:rsidRPr="006C229E">
        <w:rPr>
          <w:lang w:val="en-US"/>
        </w:rPr>
        <w:t>V</w:t>
      </w:r>
      <w:proofErr w:type="spellStart"/>
      <w:r w:rsidRPr="006C229E">
        <w:rPr>
          <w:lang w:val="en-AU"/>
        </w:rPr>
        <w:t>iolence</w:t>
      </w:r>
      <w:proofErr w:type="spellEnd"/>
      <w:r w:rsidRPr="006C229E">
        <w:rPr>
          <w:lang w:val="en-US"/>
        </w:rPr>
        <w:t xml:space="preserve"> prosecutions</w:t>
      </w:r>
      <w:r w:rsidRPr="006C229E">
        <w:rPr>
          <w:lang w:val="en-AU"/>
        </w:rPr>
        <w:t>. By capturing complainant accounts soon after the alleged incident</w:t>
      </w:r>
      <w:r w:rsidR="00771523">
        <w:rPr>
          <w:lang w:val="en-AU"/>
        </w:rPr>
        <w:t xml:space="preserve"> </w:t>
      </w:r>
      <w:r w:rsidR="00771523" w:rsidRPr="00771523">
        <w:t xml:space="preserve">(Criminal Procedure Act 1986 </w:t>
      </w:r>
      <w:r w:rsidR="006E2431">
        <w:t>(</w:t>
      </w:r>
      <w:r w:rsidR="00771523" w:rsidRPr="00771523">
        <w:t>NSW</w:t>
      </w:r>
      <w:r w:rsidR="006E2431">
        <w:t>)</w:t>
      </w:r>
      <w:r w:rsidR="00771523" w:rsidRPr="00771523">
        <w:t>, s 289D</w:t>
      </w:r>
      <w:r w:rsidR="006841DA">
        <w:t>(</w:t>
      </w:r>
      <w:r w:rsidR="00771523" w:rsidRPr="00771523">
        <w:t>b</w:t>
      </w:r>
      <w:r w:rsidR="006841DA">
        <w:t>)</w:t>
      </w:r>
      <w:r w:rsidR="00771523" w:rsidRPr="00771523">
        <w:t>)</w:t>
      </w:r>
      <w:r w:rsidRPr="006C229E">
        <w:rPr>
          <w:lang w:val="en-AU"/>
        </w:rPr>
        <w:t xml:space="preserve">, it </w:t>
      </w:r>
      <w:r w:rsidRPr="006C229E">
        <w:rPr>
          <w:lang w:val="en-US"/>
        </w:rPr>
        <w:t>offer</w:t>
      </w:r>
      <w:r w:rsidRPr="006C229E">
        <w:rPr>
          <w:lang w:val="en-AU"/>
        </w:rPr>
        <w:t>s</w:t>
      </w:r>
      <w:r w:rsidRPr="006C229E">
        <w:rPr>
          <w:lang w:val="en-US"/>
        </w:rPr>
        <w:t xml:space="preserve"> </w:t>
      </w:r>
      <w:r w:rsidRPr="006C229E">
        <w:rPr>
          <w:lang w:val="en-AU"/>
        </w:rPr>
        <w:t>greater immediacy and accuracy</w:t>
      </w:r>
      <w:r w:rsidR="006E0E45">
        <w:rPr>
          <w:lang w:val="en-AU"/>
        </w:rPr>
        <w:t xml:space="preserve"> </w:t>
      </w:r>
      <w:r w:rsidR="006E0E45" w:rsidRPr="006E0E45">
        <w:t>(Roberts and Ormerod 2021</w:t>
      </w:r>
      <w:proofErr w:type="gramStart"/>
      <w:r w:rsidR="006E0E45">
        <w:t>)</w:t>
      </w:r>
      <w:r w:rsidRPr="006C229E">
        <w:rPr>
          <w:lang w:val="en-AU"/>
        </w:rPr>
        <w:t>, and</w:t>
      </w:r>
      <w:proofErr w:type="gramEnd"/>
      <w:r w:rsidRPr="006C229E">
        <w:rPr>
          <w:lang w:val="en-US"/>
        </w:rPr>
        <w:t xml:space="preserve"> </w:t>
      </w:r>
      <w:proofErr w:type="spellStart"/>
      <w:r w:rsidRPr="006C229E">
        <w:rPr>
          <w:lang w:val="en-US"/>
        </w:rPr>
        <w:t>reduc</w:t>
      </w:r>
      <w:proofErr w:type="spellEnd"/>
      <w:r w:rsidRPr="006C229E">
        <w:rPr>
          <w:lang w:val="en-AU"/>
        </w:rPr>
        <w:t>es the risk of re-traumatisation</w:t>
      </w:r>
      <w:r w:rsidR="006E0E45">
        <w:rPr>
          <w:lang w:val="en-AU"/>
        </w:rPr>
        <w:t xml:space="preserve"> </w:t>
      </w:r>
      <w:r w:rsidR="006E0E45" w:rsidRPr="006E0E45">
        <w:t>(</w:t>
      </w:r>
      <w:proofErr w:type="spellStart"/>
      <w:r w:rsidR="006E0E45" w:rsidRPr="006E0E45">
        <w:t>Katirai</w:t>
      </w:r>
      <w:proofErr w:type="spellEnd"/>
      <w:r w:rsidR="006E0E45" w:rsidRPr="006E0E45">
        <w:t xml:space="preserve"> 2020</w:t>
      </w:r>
      <w:r w:rsidR="006E0E45">
        <w:t>)</w:t>
      </w:r>
      <w:r w:rsidRPr="006C229E">
        <w:rPr>
          <w:lang w:val="en-AU"/>
        </w:rPr>
        <w:t>, by limiting the need for in-person testimony.</w:t>
      </w:r>
      <w:r w:rsidRPr="006C229E">
        <w:rPr>
          <w:lang w:val="en-US"/>
        </w:rPr>
        <w:t xml:space="preserve"> </w:t>
      </w:r>
      <w:r w:rsidRPr="006C229E">
        <w:rPr>
          <w:lang w:val="en-AU"/>
        </w:rPr>
        <w:t>It also remains admissible when complainants withdraw or recant</w:t>
      </w:r>
      <w:r w:rsidR="00E34246">
        <w:rPr>
          <w:lang w:val="en-AU"/>
        </w:rPr>
        <w:t xml:space="preserve"> </w:t>
      </w:r>
      <w:r w:rsidR="00E34246" w:rsidRPr="00E34246">
        <w:t>(</w:t>
      </w:r>
      <w:proofErr w:type="spellStart"/>
      <w:r w:rsidR="00E34246" w:rsidRPr="00E34246">
        <w:t>Westera</w:t>
      </w:r>
      <w:proofErr w:type="spellEnd"/>
      <w:r w:rsidR="00E34246" w:rsidRPr="00E34246">
        <w:t xml:space="preserve"> and Powell 2015</w:t>
      </w:r>
      <w:r w:rsidR="00E34246">
        <w:t>)</w:t>
      </w:r>
      <w:r w:rsidRPr="006C229E">
        <w:rPr>
          <w:lang w:val="en-AU"/>
        </w:rPr>
        <w:t xml:space="preserve">, and it has been </w:t>
      </w:r>
      <w:r w:rsidRPr="006C229E">
        <w:rPr>
          <w:lang w:val="en-AU"/>
        </w:rPr>
        <w:lastRenderedPageBreak/>
        <w:t>associated with increased rates of convictions</w:t>
      </w:r>
      <w:r w:rsidR="00E34246">
        <w:rPr>
          <w:lang w:val="en-AU"/>
        </w:rPr>
        <w:t xml:space="preserve"> </w:t>
      </w:r>
      <w:r w:rsidR="00E34246" w:rsidRPr="00E34246">
        <w:t>(Yeong and Poynton 2023</w:t>
      </w:r>
      <w:r w:rsidR="00E34246">
        <w:t>)</w:t>
      </w:r>
      <w:r w:rsidRPr="006C229E">
        <w:rPr>
          <w:lang w:val="en-AU"/>
        </w:rPr>
        <w:t xml:space="preserve"> and early guilty pleas</w:t>
      </w:r>
      <w:r w:rsidR="00054513">
        <w:rPr>
          <w:lang w:val="en-AU"/>
        </w:rPr>
        <w:t xml:space="preserve"> </w:t>
      </w:r>
      <w:r w:rsidR="00054513" w:rsidRPr="00054513">
        <w:t>(Walton, Brooks, and Li 2021</w:t>
      </w:r>
      <w:r w:rsidR="00054513">
        <w:t>)</w:t>
      </w:r>
      <w:r w:rsidRPr="006C229E">
        <w:rPr>
          <w:lang w:val="en-AU"/>
        </w:rPr>
        <w:t>. These benefits have led to the increased use of this new form of evidence in Domestic and Family Violence trials across Australia and New Zealand</w:t>
      </w:r>
      <w:r w:rsidR="00054513">
        <w:rPr>
          <w:lang w:val="en-AU"/>
        </w:rPr>
        <w:t xml:space="preserve"> </w:t>
      </w:r>
      <w:r w:rsidR="00054513" w:rsidRPr="00054513">
        <w:t>(Iliadis et al. 2024)</w:t>
      </w:r>
      <w:r w:rsidRPr="006C229E">
        <w:rPr>
          <w:lang w:val="en-AU"/>
        </w:rPr>
        <w:t>.</w:t>
      </w:r>
    </w:p>
    <w:p w14:paraId="30010196" w14:textId="17BEFCBC" w:rsidR="006C229E" w:rsidRPr="00431FC9" w:rsidRDefault="006C229E" w:rsidP="00AA5AD8">
      <w:pPr>
        <w:pStyle w:val="Newparagraph"/>
        <w:spacing w:line="276" w:lineRule="auto"/>
        <w:jc w:val="both"/>
      </w:pPr>
      <w:r w:rsidRPr="006C229E">
        <w:rPr>
          <w:lang w:val="en-US"/>
        </w:rPr>
        <w:t xml:space="preserve">However, </w:t>
      </w:r>
      <w:r w:rsidRPr="006C229E">
        <w:rPr>
          <w:lang w:val="en-AU"/>
        </w:rPr>
        <w:t xml:space="preserve">as this article has demonstrated, these advantages must be weighed against significant and underexplored risks. The audio-visual immediacy of </w:t>
      </w:r>
      <w:r w:rsidRPr="006C229E">
        <w:rPr>
          <w:lang w:val="en-US"/>
        </w:rPr>
        <w:t>D</w:t>
      </w:r>
      <w:proofErr w:type="spellStart"/>
      <w:r w:rsidRPr="006C229E">
        <w:rPr>
          <w:lang w:val="en-AU"/>
        </w:rPr>
        <w:t>omestic</w:t>
      </w:r>
      <w:proofErr w:type="spellEnd"/>
      <w:r w:rsidRPr="006C229E">
        <w:rPr>
          <w:lang w:val="en-AU"/>
        </w:rPr>
        <w:t xml:space="preserve"> </w:t>
      </w:r>
      <w:r w:rsidRPr="006C229E">
        <w:rPr>
          <w:lang w:val="en-US"/>
        </w:rPr>
        <w:t>V</w:t>
      </w:r>
      <w:proofErr w:type="spellStart"/>
      <w:r w:rsidRPr="006C229E">
        <w:rPr>
          <w:lang w:val="en-AU"/>
        </w:rPr>
        <w:t>iolence</w:t>
      </w:r>
      <w:proofErr w:type="spellEnd"/>
      <w:r w:rsidRPr="006C229E">
        <w:rPr>
          <w:lang w:val="en-AU"/>
        </w:rPr>
        <w:t xml:space="preserve"> </w:t>
      </w:r>
      <w:r w:rsidRPr="006C229E">
        <w:rPr>
          <w:lang w:val="en-US"/>
        </w:rPr>
        <w:t>E</w:t>
      </w:r>
      <w:proofErr w:type="spellStart"/>
      <w:r w:rsidRPr="006C229E">
        <w:rPr>
          <w:lang w:val="en-AU"/>
        </w:rPr>
        <w:t>vidence</w:t>
      </w:r>
      <w:proofErr w:type="spellEnd"/>
      <w:r w:rsidRPr="006C229E">
        <w:rPr>
          <w:lang w:val="en-AU"/>
        </w:rPr>
        <w:t>-in-</w:t>
      </w:r>
      <w:r w:rsidRPr="006C229E">
        <w:rPr>
          <w:lang w:val="en-US"/>
        </w:rPr>
        <w:t>C</w:t>
      </w:r>
      <w:proofErr w:type="spellStart"/>
      <w:r w:rsidRPr="006C229E">
        <w:rPr>
          <w:lang w:val="en-AU"/>
        </w:rPr>
        <w:t>hief</w:t>
      </w:r>
      <w:proofErr w:type="spellEnd"/>
      <w:r w:rsidRPr="006C229E">
        <w:rPr>
          <w:lang w:val="en-AU"/>
        </w:rPr>
        <w:t xml:space="preserve"> introduces </w:t>
      </w:r>
      <w:r w:rsidRPr="006C229E">
        <w:rPr>
          <w:lang w:val="en-US"/>
        </w:rPr>
        <w:t>extra-legal factors</w:t>
      </w:r>
      <w:r w:rsidRPr="006C229E">
        <w:rPr>
          <w:lang w:val="en-AU"/>
        </w:rPr>
        <w:t>, particularly emotionality, that</w:t>
      </w:r>
      <w:r w:rsidRPr="006C229E">
        <w:rPr>
          <w:lang w:val="en-US"/>
        </w:rPr>
        <w:t xml:space="preserve"> may </w:t>
      </w:r>
      <w:r w:rsidRPr="006C229E">
        <w:rPr>
          <w:lang w:val="en-AU"/>
        </w:rPr>
        <w:t>influence</w:t>
      </w:r>
      <w:r w:rsidRPr="006C229E">
        <w:rPr>
          <w:lang w:val="en-US"/>
        </w:rPr>
        <w:t xml:space="preserve"> </w:t>
      </w:r>
      <w:proofErr w:type="gramStart"/>
      <w:r w:rsidRPr="006C229E">
        <w:rPr>
          <w:lang w:val="en-AU"/>
        </w:rPr>
        <w:t>fact-finders</w:t>
      </w:r>
      <w:proofErr w:type="gramEnd"/>
      <w:r w:rsidRPr="006C229E">
        <w:rPr>
          <w:lang w:val="en-AU"/>
        </w:rPr>
        <w:t>’ credibility assessments and verdicts in unintended ways</w:t>
      </w:r>
      <w:r w:rsidR="00431FC9">
        <w:rPr>
          <w:lang w:val="en-AU"/>
        </w:rPr>
        <w:t xml:space="preserve"> </w:t>
      </w:r>
      <w:r w:rsidR="00431FC9" w:rsidRPr="00431FC9">
        <w:t>(Roberts and Ormerod 2021</w:t>
      </w:r>
      <w:r w:rsidR="00431FC9">
        <w:t>)</w:t>
      </w:r>
      <w:r w:rsidRPr="006C229E">
        <w:rPr>
          <w:lang w:val="en-US"/>
        </w:rPr>
        <w:t xml:space="preserve">. </w:t>
      </w:r>
      <w:r w:rsidRPr="006C229E">
        <w:rPr>
          <w:lang w:val="en-AU"/>
        </w:rPr>
        <w:t>Complainants’ emotional expressions may trigger t</w:t>
      </w:r>
      <w:r w:rsidRPr="006C229E">
        <w:rPr>
          <w:lang w:val="en-US"/>
        </w:rPr>
        <w:t>he E</w:t>
      </w:r>
      <w:r w:rsidRPr="006C229E">
        <w:rPr>
          <w:lang w:val="en-AU"/>
        </w:rPr>
        <w:t xml:space="preserve">motional </w:t>
      </w:r>
      <w:r w:rsidRPr="006C229E">
        <w:rPr>
          <w:lang w:val="en-US"/>
        </w:rPr>
        <w:t>V</w:t>
      </w:r>
      <w:proofErr w:type="spellStart"/>
      <w:r w:rsidRPr="006C229E">
        <w:rPr>
          <w:lang w:val="en-AU"/>
        </w:rPr>
        <w:t>ictim</w:t>
      </w:r>
      <w:proofErr w:type="spellEnd"/>
      <w:r w:rsidRPr="006C229E">
        <w:rPr>
          <w:lang w:val="en-AU"/>
        </w:rPr>
        <w:t xml:space="preserve"> </w:t>
      </w:r>
      <w:r w:rsidRPr="006C229E">
        <w:rPr>
          <w:lang w:val="en-US"/>
        </w:rPr>
        <w:t>E</w:t>
      </w:r>
      <w:proofErr w:type="spellStart"/>
      <w:r w:rsidRPr="006C229E">
        <w:rPr>
          <w:lang w:val="en-AU"/>
        </w:rPr>
        <w:t>ffect</w:t>
      </w:r>
      <w:proofErr w:type="spellEnd"/>
      <w:r w:rsidR="00431FC9">
        <w:rPr>
          <w:lang w:val="en-AU"/>
        </w:rPr>
        <w:t xml:space="preserve"> </w:t>
      </w:r>
      <w:r w:rsidR="00431FC9" w:rsidRPr="00431FC9">
        <w:t xml:space="preserve">(Ask and </w:t>
      </w:r>
      <w:proofErr w:type="spellStart"/>
      <w:r w:rsidR="00431FC9" w:rsidRPr="00431FC9">
        <w:t>Landström</w:t>
      </w:r>
      <w:proofErr w:type="spellEnd"/>
      <w:r w:rsidR="00431FC9" w:rsidRPr="00431FC9">
        <w:t xml:space="preserve"> 2010</w:t>
      </w:r>
      <w:proofErr w:type="gramStart"/>
      <w:r w:rsidR="00431FC9">
        <w:t>)</w:t>
      </w:r>
      <w:r w:rsidRPr="006C229E">
        <w:rPr>
          <w:lang w:val="en-AU"/>
        </w:rPr>
        <w:t>,</w:t>
      </w:r>
      <w:r w:rsidRPr="006C229E">
        <w:rPr>
          <w:lang w:val="en-US"/>
        </w:rPr>
        <w:t xml:space="preserve"> </w:t>
      </w:r>
      <w:r w:rsidRPr="006C229E">
        <w:rPr>
          <w:lang w:val="en-AU"/>
        </w:rPr>
        <w:t>or</w:t>
      </w:r>
      <w:proofErr w:type="gramEnd"/>
      <w:r w:rsidRPr="006C229E">
        <w:rPr>
          <w:lang w:val="en-AU"/>
        </w:rPr>
        <w:t xml:space="preserve"> provoke emotional reactions in jurors that may undermine rational evaluation of evidence</w:t>
      </w:r>
      <w:r w:rsidR="006A3C6E">
        <w:rPr>
          <w:lang w:val="en-AU"/>
        </w:rPr>
        <w:t xml:space="preserve"> </w:t>
      </w:r>
      <w:r w:rsidR="006A3C6E" w:rsidRPr="006A3C6E">
        <w:t>(Georges, Wiener, and Keller 2013; Nuñez et al. 2015)</w:t>
      </w:r>
      <w:r w:rsidRPr="006C229E">
        <w:rPr>
          <w:lang w:val="en-AU"/>
        </w:rPr>
        <w:t>.</w:t>
      </w:r>
    </w:p>
    <w:p w14:paraId="31A6AF62" w14:textId="55BBB8A4" w:rsidR="006C229E" w:rsidRPr="006C229E" w:rsidRDefault="006C229E" w:rsidP="00AA5AD8">
      <w:pPr>
        <w:pStyle w:val="Newparagraph"/>
        <w:spacing w:line="276" w:lineRule="auto"/>
        <w:jc w:val="both"/>
        <w:rPr>
          <w:lang w:val="en-AU"/>
        </w:rPr>
      </w:pPr>
      <w:r w:rsidRPr="006C229E">
        <w:rPr>
          <w:lang w:val="en-AU"/>
        </w:rPr>
        <w:t xml:space="preserve">Despite increasing reliance on </w:t>
      </w:r>
      <w:r w:rsidRPr="006C229E">
        <w:rPr>
          <w:lang w:val="en-US"/>
        </w:rPr>
        <w:t>D</w:t>
      </w:r>
      <w:proofErr w:type="spellStart"/>
      <w:r w:rsidRPr="006C229E">
        <w:rPr>
          <w:lang w:val="en-AU"/>
        </w:rPr>
        <w:t>omestic</w:t>
      </w:r>
      <w:proofErr w:type="spellEnd"/>
      <w:r w:rsidRPr="006C229E">
        <w:rPr>
          <w:lang w:val="en-AU"/>
        </w:rPr>
        <w:t xml:space="preserve"> </w:t>
      </w:r>
      <w:r w:rsidRPr="006C229E">
        <w:rPr>
          <w:lang w:val="en-US"/>
        </w:rPr>
        <w:t>V</w:t>
      </w:r>
      <w:proofErr w:type="spellStart"/>
      <w:r w:rsidRPr="006C229E">
        <w:rPr>
          <w:lang w:val="en-AU"/>
        </w:rPr>
        <w:t>iolence</w:t>
      </w:r>
      <w:proofErr w:type="spellEnd"/>
      <w:r w:rsidRPr="006C229E">
        <w:rPr>
          <w:lang w:val="en-AU"/>
        </w:rPr>
        <w:t xml:space="preserve"> </w:t>
      </w:r>
      <w:r w:rsidRPr="006C229E">
        <w:rPr>
          <w:lang w:val="en-US"/>
        </w:rPr>
        <w:t>E</w:t>
      </w:r>
      <w:proofErr w:type="spellStart"/>
      <w:r w:rsidRPr="006C229E">
        <w:rPr>
          <w:lang w:val="en-AU"/>
        </w:rPr>
        <w:t>vidence</w:t>
      </w:r>
      <w:proofErr w:type="spellEnd"/>
      <w:r w:rsidRPr="006C229E">
        <w:rPr>
          <w:lang w:val="en-AU"/>
        </w:rPr>
        <w:t>-in-</w:t>
      </w:r>
      <w:r w:rsidRPr="006C229E">
        <w:rPr>
          <w:lang w:val="en-US"/>
        </w:rPr>
        <w:t>C</w:t>
      </w:r>
      <w:proofErr w:type="spellStart"/>
      <w:r w:rsidRPr="006C229E">
        <w:rPr>
          <w:lang w:val="en-AU"/>
        </w:rPr>
        <w:t>hief</w:t>
      </w:r>
      <w:proofErr w:type="spellEnd"/>
      <w:r w:rsidRPr="006C229E">
        <w:rPr>
          <w:lang w:val="en-AU"/>
        </w:rPr>
        <w:t>, there is currently no empirical research examining how its emotional content affects legal decision-making. Psychological studies on other forms of testimony suggest that emotions can bias juror reasoning</w:t>
      </w:r>
      <w:r w:rsidR="00AC7D55">
        <w:rPr>
          <w:lang w:val="en-AU"/>
        </w:rPr>
        <w:t xml:space="preserve"> </w:t>
      </w:r>
      <w:r w:rsidR="00AC7D55" w:rsidRPr="00AC7D55">
        <w:t>(van Doorn and Koster 2019; Nitschke, McKimmie, and Vanman 2019)</w:t>
      </w:r>
      <w:r w:rsidRPr="006C229E">
        <w:rPr>
          <w:lang w:val="en-AU"/>
        </w:rPr>
        <w:t>, but efforts to counteract these effects, primarily though judicial instructions, have shown limited or even counterproductive effects</w:t>
      </w:r>
      <w:r w:rsidR="002E21CC">
        <w:rPr>
          <w:lang w:val="en-AU"/>
        </w:rPr>
        <w:t xml:space="preserve"> (</w:t>
      </w:r>
      <w:r w:rsidR="002E21CC" w:rsidRPr="002E21CC">
        <w:t>Nitschke and</w:t>
      </w:r>
      <w:r w:rsidR="002E21CC">
        <w:t xml:space="preserve"> </w:t>
      </w:r>
      <w:r w:rsidR="002E21CC" w:rsidRPr="002E21CC">
        <w:t>McKimmie 2024</w:t>
      </w:r>
      <w:r w:rsidR="002E21CC">
        <w:t>)</w:t>
      </w:r>
      <w:r w:rsidRPr="006C229E">
        <w:rPr>
          <w:lang w:val="en-AU"/>
        </w:rPr>
        <w:t>. Without context-specific research on videorecorded evidence-in-chief, courts risk relying on a tool which emotional impact may undermine procedural fairness, especially where the recording is the primary or only piece of evidence in a case</w:t>
      </w:r>
      <w:r w:rsidR="002E21CC">
        <w:rPr>
          <w:lang w:val="en-AU"/>
        </w:rPr>
        <w:t xml:space="preserve"> </w:t>
      </w:r>
      <w:r w:rsidR="002E21CC" w:rsidRPr="00431FC9">
        <w:t>(Roberts and Ormerod 2021</w:t>
      </w:r>
      <w:r w:rsidR="002E21CC">
        <w:t>)</w:t>
      </w:r>
      <w:r w:rsidRPr="006C229E">
        <w:rPr>
          <w:lang w:val="en-AU"/>
        </w:rPr>
        <w:t>.</w:t>
      </w:r>
    </w:p>
    <w:p w14:paraId="5EDBE487" w14:textId="6B88466E" w:rsidR="00065550" w:rsidRPr="000478BA" w:rsidRDefault="006C229E" w:rsidP="00AA5AD8">
      <w:pPr>
        <w:pStyle w:val="Newparagraph"/>
        <w:spacing w:line="276" w:lineRule="auto"/>
        <w:jc w:val="both"/>
        <w:rPr>
          <w:lang w:val="en-AU"/>
        </w:rPr>
      </w:pPr>
      <w:r w:rsidRPr="006C229E">
        <w:rPr>
          <w:lang w:val="en-AU"/>
        </w:rPr>
        <w:t xml:space="preserve">This article calls for a critical, research-informed approach to the use of </w:t>
      </w:r>
      <w:r w:rsidRPr="006C229E">
        <w:rPr>
          <w:lang w:val="en-US"/>
        </w:rPr>
        <w:t>D</w:t>
      </w:r>
      <w:proofErr w:type="spellStart"/>
      <w:r w:rsidRPr="006C229E">
        <w:rPr>
          <w:lang w:val="en-AU"/>
        </w:rPr>
        <w:t>omestic</w:t>
      </w:r>
      <w:proofErr w:type="spellEnd"/>
      <w:r w:rsidRPr="006C229E">
        <w:rPr>
          <w:lang w:val="en-AU"/>
        </w:rPr>
        <w:t xml:space="preserve"> </w:t>
      </w:r>
      <w:r w:rsidRPr="006C229E">
        <w:rPr>
          <w:lang w:val="en-US"/>
        </w:rPr>
        <w:t>V</w:t>
      </w:r>
      <w:proofErr w:type="spellStart"/>
      <w:r w:rsidRPr="006C229E">
        <w:rPr>
          <w:lang w:val="en-AU"/>
        </w:rPr>
        <w:t>iolence</w:t>
      </w:r>
      <w:proofErr w:type="spellEnd"/>
      <w:r w:rsidRPr="006C229E">
        <w:rPr>
          <w:lang w:val="en-AU"/>
        </w:rPr>
        <w:t xml:space="preserve"> </w:t>
      </w:r>
      <w:r w:rsidRPr="006C229E">
        <w:rPr>
          <w:lang w:val="en-US"/>
        </w:rPr>
        <w:t>E</w:t>
      </w:r>
      <w:proofErr w:type="spellStart"/>
      <w:r w:rsidRPr="006C229E">
        <w:rPr>
          <w:lang w:val="en-AU"/>
        </w:rPr>
        <w:t>vidence</w:t>
      </w:r>
      <w:proofErr w:type="spellEnd"/>
      <w:r w:rsidRPr="006C229E">
        <w:rPr>
          <w:lang w:val="en-AU"/>
        </w:rPr>
        <w:t>-in-</w:t>
      </w:r>
      <w:r w:rsidRPr="006C229E">
        <w:rPr>
          <w:lang w:val="en-US"/>
        </w:rPr>
        <w:t>C</w:t>
      </w:r>
      <w:proofErr w:type="spellStart"/>
      <w:r w:rsidRPr="006C229E">
        <w:rPr>
          <w:lang w:val="en-AU"/>
        </w:rPr>
        <w:t>hief</w:t>
      </w:r>
      <w:proofErr w:type="spellEnd"/>
      <w:r w:rsidRPr="006C229E">
        <w:rPr>
          <w:lang w:val="en-AU"/>
        </w:rPr>
        <w:t>. If this evidence is to be central to Domestic and Family Violence prosecutions, its use must be supported by empirical evidence on its psychological effects and by the development of effective safeguards. These</w:t>
      </w:r>
      <w:r w:rsidRPr="006C229E" w:rsidDel="6A64E8C6">
        <w:rPr>
          <w:lang w:val="en-AU"/>
        </w:rPr>
        <w:t xml:space="preserve"> </w:t>
      </w:r>
      <w:r w:rsidRPr="006C229E">
        <w:rPr>
          <w:lang w:val="en-AU"/>
        </w:rPr>
        <w:t xml:space="preserve">might include </w:t>
      </w:r>
      <w:r w:rsidR="00731EC2">
        <w:rPr>
          <w:lang w:val="en-AU"/>
        </w:rPr>
        <w:t>warnings</w:t>
      </w:r>
      <w:r w:rsidRPr="006C229E">
        <w:rPr>
          <w:lang w:val="en-AU"/>
        </w:rPr>
        <w:t xml:space="preserve"> that explicitly address the influence of emotional content – both in the footage and within jurors themselves – and encourage </w:t>
      </w:r>
      <w:proofErr w:type="gramStart"/>
      <w:r w:rsidR="00731EC2">
        <w:rPr>
          <w:lang w:val="en-AU"/>
        </w:rPr>
        <w:t>fact-finders</w:t>
      </w:r>
      <w:proofErr w:type="gramEnd"/>
      <w:r w:rsidR="00731EC2" w:rsidRPr="006C229E">
        <w:rPr>
          <w:lang w:val="en-AU"/>
        </w:rPr>
        <w:t xml:space="preserve"> </w:t>
      </w:r>
      <w:r w:rsidRPr="006C229E">
        <w:rPr>
          <w:lang w:val="en-AU"/>
        </w:rPr>
        <w:t>to recognise and monitor their own emotional responses to it during deliberation</w:t>
      </w:r>
      <w:r w:rsidR="002A7FA0">
        <w:rPr>
          <w:lang w:val="en-AU"/>
        </w:rPr>
        <w:t xml:space="preserve"> </w:t>
      </w:r>
      <w:r w:rsidR="002A7FA0" w:rsidRPr="002A7FA0">
        <w:t>(Salerno 2021</w:t>
      </w:r>
      <w:r w:rsidR="002A7FA0">
        <w:t>)</w:t>
      </w:r>
      <w:r w:rsidRPr="006C229E">
        <w:rPr>
          <w:lang w:val="en-AU"/>
        </w:rPr>
        <w:t xml:space="preserve">. If such strategies prove ineffective, more restrictive use of </w:t>
      </w:r>
      <w:r w:rsidRPr="006C229E">
        <w:rPr>
          <w:lang w:val="en-US"/>
        </w:rPr>
        <w:t>D</w:t>
      </w:r>
      <w:proofErr w:type="spellStart"/>
      <w:r w:rsidRPr="006C229E">
        <w:rPr>
          <w:lang w:val="en-AU"/>
        </w:rPr>
        <w:t>omestic</w:t>
      </w:r>
      <w:proofErr w:type="spellEnd"/>
      <w:r w:rsidRPr="006C229E">
        <w:rPr>
          <w:lang w:val="en-AU"/>
        </w:rPr>
        <w:t xml:space="preserve"> </w:t>
      </w:r>
      <w:r w:rsidRPr="006C229E">
        <w:rPr>
          <w:lang w:val="en-US"/>
        </w:rPr>
        <w:t>V</w:t>
      </w:r>
      <w:proofErr w:type="spellStart"/>
      <w:r w:rsidRPr="006C229E">
        <w:rPr>
          <w:lang w:val="en-AU"/>
        </w:rPr>
        <w:t>iolence</w:t>
      </w:r>
      <w:proofErr w:type="spellEnd"/>
      <w:r w:rsidRPr="006C229E">
        <w:rPr>
          <w:lang w:val="en-AU"/>
        </w:rPr>
        <w:t xml:space="preserve"> </w:t>
      </w:r>
      <w:r w:rsidRPr="006C229E">
        <w:rPr>
          <w:lang w:val="en-US"/>
        </w:rPr>
        <w:t>E</w:t>
      </w:r>
      <w:proofErr w:type="spellStart"/>
      <w:r w:rsidRPr="006C229E">
        <w:rPr>
          <w:lang w:val="en-AU"/>
        </w:rPr>
        <w:t>vidence</w:t>
      </w:r>
      <w:proofErr w:type="spellEnd"/>
      <w:r w:rsidRPr="006C229E">
        <w:rPr>
          <w:lang w:val="en-AU"/>
        </w:rPr>
        <w:t>-in-</w:t>
      </w:r>
      <w:r w:rsidRPr="006C229E">
        <w:rPr>
          <w:lang w:val="en-US"/>
        </w:rPr>
        <w:t>C</w:t>
      </w:r>
      <w:proofErr w:type="spellStart"/>
      <w:r w:rsidRPr="006C229E">
        <w:rPr>
          <w:lang w:val="en-AU"/>
        </w:rPr>
        <w:t>hief</w:t>
      </w:r>
      <w:proofErr w:type="spellEnd"/>
      <w:r w:rsidRPr="006C229E">
        <w:rPr>
          <w:lang w:val="en-AU"/>
        </w:rPr>
        <w:t xml:space="preserve"> may be considered, especially if highly emotionally charged. Ensuring that this new form of evidence aligns with the legal system’s commitment to rational fact-finding, fair and unbiased, should be a priority for future research and legal reform.</w:t>
      </w:r>
    </w:p>
    <w:p w14:paraId="4BF573CC" w14:textId="2AF7109D" w:rsidR="00FE4713" w:rsidRDefault="00FE4713" w:rsidP="008029DC">
      <w:pPr>
        <w:pStyle w:val="Figurecaption"/>
        <w:keepNext/>
        <w:spacing w:before="360" w:after="60" w:line="276" w:lineRule="auto"/>
        <w:ind w:right="567"/>
        <w:contextualSpacing/>
        <w:jc w:val="both"/>
        <w:outlineLvl w:val="0"/>
      </w:pPr>
    </w:p>
    <w:sectPr w:rsidR="00FE4713" w:rsidSect="00645E1A">
      <w:endnotePr>
        <w:numFmt w:val="decimal"/>
      </w:endnotePr>
      <w:type w:val="continuous"/>
      <w:pgSz w:w="11901" w:h="16840" w:code="9"/>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946FE6" w14:textId="77777777" w:rsidR="00CD699E" w:rsidRDefault="00CD699E" w:rsidP="00AF2C92">
      <w:r>
        <w:separator/>
      </w:r>
    </w:p>
  </w:endnote>
  <w:endnote w:type="continuationSeparator" w:id="0">
    <w:p w14:paraId="40F795FC" w14:textId="77777777" w:rsidR="00CD699E" w:rsidRDefault="00CD699E" w:rsidP="00AF2C92">
      <w:r>
        <w:continuationSeparator/>
      </w:r>
    </w:p>
  </w:endnote>
  <w:endnote w:id="1">
    <w:p w14:paraId="0F7CA27D" w14:textId="0AC7BF6E" w:rsidR="00645E1A" w:rsidRDefault="00645E1A" w:rsidP="005E0EE4">
      <w:pPr>
        <w:pStyle w:val="Newparagraph"/>
        <w:spacing w:line="276" w:lineRule="auto"/>
        <w:ind w:firstLine="0"/>
        <w:jc w:val="both"/>
        <w:rPr>
          <w:sz w:val="20"/>
          <w:szCs w:val="20"/>
        </w:rPr>
      </w:pPr>
      <w:r w:rsidRPr="008029DC">
        <w:rPr>
          <w:rStyle w:val="EndnoteReference"/>
          <w:sz w:val="20"/>
          <w:szCs w:val="20"/>
        </w:rPr>
        <w:endnoteRef/>
      </w:r>
      <w:r>
        <w:t xml:space="preserve"> </w:t>
      </w:r>
      <w:r>
        <w:rPr>
          <w:sz w:val="20"/>
          <w:szCs w:val="20"/>
        </w:rPr>
        <w:t>For the purposes of the uniform evidence law</w:t>
      </w:r>
      <w:r w:rsidR="005E0EE4">
        <w:rPr>
          <w:sz w:val="20"/>
          <w:szCs w:val="20"/>
        </w:rPr>
        <w:t xml:space="preserve"> (including the Evidence Act 1995 (NSW)</w:t>
      </w:r>
      <w:r>
        <w:rPr>
          <w:sz w:val="20"/>
          <w:szCs w:val="20"/>
        </w:rPr>
        <w:t>, a complainant who refused to testify would be considered ‘unavailable’. Evidence of the representations made by the complainant in the recording would be admissible provided the conditions set out in the exception to the hearsay rule for representations made by such persons (section 65) are satisfied. Section 289</w:t>
      </w:r>
      <w:proofErr w:type="gramStart"/>
      <w:r>
        <w:rPr>
          <w:sz w:val="20"/>
          <w:szCs w:val="20"/>
        </w:rPr>
        <w:t>F(</w:t>
      </w:r>
      <w:proofErr w:type="gramEnd"/>
      <w:r>
        <w:rPr>
          <w:sz w:val="20"/>
          <w:szCs w:val="20"/>
        </w:rPr>
        <w:t>5) Criminal Procedure Act 1986 (NSW) provides that ‘a complainant who gives evidence wholly or partly in the form of a recorded statement must subsequently be available for cross-examination and re-examination.’ However, where a complainant declines to support a prosecution, evidence of the representations made by the complainant in the recording will be given by another person who was present at the scene - most likely the officer who made the recording.  As the complainant is not giving evidence, the provisions in Chapter 6 Part 4B of the Criminal Procedure Act, including section 289</w:t>
      </w:r>
      <w:proofErr w:type="gramStart"/>
      <w:r>
        <w:rPr>
          <w:sz w:val="20"/>
          <w:szCs w:val="20"/>
        </w:rPr>
        <w:t>F(</w:t>
      </w:r>
      <w:proofErr w:type="gramEnd"/>
      <w:r>
        <w:rPr>
          <w:sz w:val="20"/>
          <w:szCs w:val="20"/>
        </w:rPr>
        <w:t xml:space="preserve">5), are inapplicable. </w:t>
      </w:r>
    </w:p>
    <w:p w14:paraId="5BB29F51" w14:textId="77777777" w:rsidR="005E0EE4" w:rsidRPr="008029DC" w:rsidRDefault="005E0EE4" w:rsidP="008029DC">
      <w:pPr>
        <w:pStyle w:val="Newparagraph"/>
        <w:spacing w:line="276" w:lineRule="auto"/>
        <w:ind w:firstLine="0"/>
        <w:jc w:val="both"/>
        <w:rPr>
          <w:sz w:val="20"/>
        </w:rPr>
      </w:pPr>
    </w:p>
  </w:endnote>
  <w:endnote w:id="2">
    <w:p w14:paraId="103DE83E" w14:textId="37320459" w:rsidR="0083380B" w:rsidRPr="0083380B" w:rsidRDefault="00645E1A" w:rsidP="0083380B">
      <w:pPr>
        <w:pStyle w:val="EndnoteText"/>
        <w:spacing w:line="240" w:lineRule="auto"/>
        <w:ind w:left="0"/>
        <w:jc w:val="both"/>
        <w:rPr>
          <w:sz w:val="20"/>
          <w:lang w:val="en-AU"/>
        </w:rPr>
      </w:pPr>
      <w:r w:rsidRPr="008029DC">
        <w:rPr>
          <w:rStyle w:val="EndnoteReference"/>
          <w:sz w:val="20"/>
        </w:rPr>
        <w:endnoteRef/>
      </w:r>
      <w:r w:rsidRPr="008029DC">
        <w:rPr>
          <w:sz w:val="20"/>
        </w:rPr>
        <w:t xml:space="preserve"> We use this term because </w:t>
      </w:r>
      <w:proofErr w:type="gramStart"/>
      <w:r w:rsidRPr="008029DC">
        <w:rPr>
          <w:sz w:val="20"/>
        </w:rPr>
        <w:t>a majority of</w:t>
      </w:r>
      <w:proofErr w:type="gramEnd"/>
      <w:r w:rsidRPr="008029DC">
        <w:rPr>
          <w:sz w:val="20"/>
        </w:rPr>
        <w:t xml:space="preserve"> contested proceedings will be heard in judge-alone trials with a relatively small proportion – those involving serious assaults and sexual offences, for example – </w:t>
      </w:r>
      <w:r w:rsidR="006332F0">
        <w:rPr>
          <w:sz w:val="20"/>
        </w:rPr>
        <w:t>tried on indictment before a jury</w:t>
      </w:r>
      <w:r w:rsidRPr="008029DC">
        <w:rPr>
          <w:sz w:val="20"/>
        </w:rPr>
        <w:t xml:space="preserve">. </w:t>
      </w:r>
      <w:r>
        <w:rPr>
          <w:sz w:val="20"/>
        </w:rPr>
        <w:t xml:space="preserve">While </w:t>
      </w:r>
      <w:r w:rsidR="005E0EE4">
        <w:rPr>
          <w:sz w:val="20"/>
        </w:rPr>
        <w:t xml:space="preserve">there are studies that suggest </w:t>
      </w:r>
      <w:r>
        <w:rPr>
          <w:sz w:val="20"/>
        </w:rPr>
        <w:t xml:space="preserve">judicial officers report awareness that emotion might affect their </w:t>
      </w:r>
      <w:proofErr w:type="gramStart"/>
      <w:r>
        <w:rPr>
          <w:sz w:val="20"/>
        </w:rPr>
        <w:t>reasoning, and</w:t>
      </w:r>
      <w:proofErr w:type="gramEnd"/>
      <w:r>
        <w:rPr>
          <w:sz w:val="20"/>
        </w:rPr>
        <w:t xml:space="preserve"> adopt various strategies to counteract it (Roach Anleu and Mack 2017, 2021), it is not known whether these strategies are effective. </w:t>
      </w:r>
      <w:r w:rsidR="0083380B">
        <w:rPr>
          <w:sz w:val="20"/>
        </w:rPr>
        <w:t xml:space="preserve">Furthermore, </w:t>
      </w:r>
      <w:r w:rsidR="0083380B" w:rsidRPr="0083380B">
        <w:rPr>
          <w:sz w:val="20"/>
          <w:lang w:val="en-AU"/>
        </w:rPr>
        <w:t>research suggests that judges,</w:t>
      </w:r>
      <w:r w:rsidR="0083380B">
        <w:rPr>
          <w:sz w:val="20"/>
          <w:lang w:val="en-AU"/>
        </w:rPr>
        <w:t xml:space="preserve"> like </w:t>
      </w:r>
      <w:r w:rsidR="0083380B" w:rsidRPr="0083380B">
        <w:rPr>
          <w:sz w:val="20"/>
          <w:lang w:val="en-AU"/>
        </w:rPr>
        <w:t xml:space="preserve">jurors, are generally influenced by the same </w:t>
      </w:r>
      <w:r w:rsidR="0083380B">
        <w:rPr>
          <w:sz w:val="20"/>
          <w:lang w:val="en-AU"/>
        </w:rPr>
        <w:t>socially shaped assumptions and stereotypes, as they are human decision-makers too (</w:t>
      </w:r>
      <w:r w:rsidR="00A92787" w:rsidRPr="00A92787">
        <w:rPr>
          <w:sz w:val="20"/>
        </w:rPr>
        <w:t>Australian Law Reform Commission 2022</w:t>
      </w:r>
      <w:r w:rsidR="00A92787">
        <w:rPr>
          <w:sz w:val="20"/>
        </w:rPr>
        <w:t>).</w:t>
      </w:r>
    </w:p>
    <w:p w14:paraId="156EEFB1" w14:textId="77777777" w:rsidR="00645E1A" w:rsidRDefault="00645E1A" w:rsidP="00645E1A">
      <w:pPr>
        <w:pStyle w:val="EndnoteText"/>
        <w:spacing w:line="240" w:lineRule="auto"/>
        <w:ind w:left="0" w:firstLine="0"/>
        <w:jc w:val="both"/>
        <w:rPr>
          <w:sz w:val="20"/>
        </w:rPr>
      </w:pPr>
    </w:p>
    <w:p w14:paraId="2938007F" w14:textId="0F9FAB38" w:rsidR="00645E1A" w:rsidRDefault="00645E1A" w:rsidP="00645E1A">
      <w:pPr>
        <w:pStyle w:val="Heading1"/>
        <w:spacing w:line="276" w:lineRule="auto"/>
        <w:jc w:val="both"/>
      </w:pPr>
      <w:r>
        <w:t xml:space="preserve">Disclosure </w:t>
      </w:r>
      <w:r w:rsidR="001A46C7">
        <w:t>statement</w:t>
      </w:r>
    </w:p>
    <w:p w14:paraId="6477C07B" w14:textId="0596F70E" w:rsidR="00645E1A" w:rsidRDefault="001A46C7" w:rsidP="00645E1A">
      <w:pPr>
        <w:pStyle w:val="Paragraph"/>
        <w:spacing w:line="276" w:lineRule="auto"/>
        <w:jc w:val="both"/>
      </w:pPr>
      <w:r>
        <w:t>No potential conflict of interest was reported by the authors.</w:t>
      </w:r>
    </w:p>
    <w:p w14:paraId="0EC67B48" w14:textId="77777777" w:rsidR="001A46C7" w:rsidRDefault="001A46C7" w:rsidP="001A46C7">
      <w:pPr>
        <w:pStyle w:val="Newparagraph"/>
        <w:ind w:firstLine="0"/>
      </w:pPr>
    </w:p>
    <w:p w14:paraId="2DBF813C" w14:textId="77777777" w:rsidR="007E3C03" w:rsidRPr="007E3C03" w:rsidRDefault="007E3C03" w:rsidP="007E3C03">
      <w:pPr>
        <w:pStyle w:val="Newparagraph"/>
        <w:ind w:firstLine="0"/>
        <w:rPr>
          <w:b/>
          <w:bCs/>
        </w:rPr>
      </w:pPr>
      <w:r w:rsidRPr="007E3C03">
        <w:rPr>
          <w:b/>
          <w:bCs/>
        </w:rPr>
        <w:t>Funding</w:t>
      </w:r>
    </w:p>
    <w:p w14:paraId="613D8D65" w14:textId="26CDA162" w:rsidR="007E3C03" w:rsidRPr="001A46C7" w:rsidRDefault="007E3C03" w:rsidP="007E3C03">
      <w:pPr>
        <w:pStyle w:val="Newparagraph"/>
        <w:ind w:firstLine="0"/>
      </w:pPr>
      <w:r w:rsidRPr="0079619F">
        <w:rPr>
          <w:lang w:val="en-US"/>
        </w:rPr>
        <w:t>This work was supported by the A</w:t>
      </w:r>
      <w:r>
        <w:rPr>
          <w:lang w:val="en-US"/>
        </w:rPr>
        <w:t>ustralian Research Council (ARC)</w:t>
      </w:r>
      <w:r w:rsidRPr="0079619F">
        <w:rPr>
          <w:lang w:val="en-US"/>
        </w:rPr>
        <w:t xml:space="preserve"> under Grant</w:t>
      </w:r>
      <w:r>
        <w:rPr>
          <w:lang w:val="en-US"/>
        </w:rPr>
        <w:t xml:space="preserve"> DP240100169.</w:t>
      </w:r>
    </w:p>
    <w:p w14:paraId="61201F4D" w14:textId="77777777" w:rsidR="00645E1A" w:rsidRDefault="00645E1A" w:rsidP="00645E1A">
      <w:pPr>
        <w:pStyle w:val="Heading1"/>
        <w:spacing w:line="276" w:lineRule="auto"/>
        <w:jc w:val="both"/>
      </w:pPr>
      <w:r>
        <w:t>References</w:t>
      </w:r>
    </w:p>
    <w:p w14:paraId="629EA4A2" w14:textId="5491A9CC" w:rsidR="007E3C03" w:rsidRPr="007E3C03" w:rsidRDefault="00645E1A" w:rsidP="007E3C03">
      <w:pPr>
        <w:pStyle w:val="Tabletitle"/>
        <w:spacing w:line="276" w:lineRule="auto"/>
        <w:jc w:val="both"/>
      </w:pPr>
      <w:r>
        <w:t xml:space="preserve">Ask, K., </w:t>
      </w:r>
      <w:r w:rsidR="007E3C03">
        <w:t>&amp;</w:t>
      </w:r>
      <w:r>
        <w:t xml:space="preserve"> </w:t>
      </w:r>
      <w:proofErr w:type="spellStart"/>
      <w:r>
        <w:t>Landström</w:t>
      </w:r>
      <w:proofErr w:type="spellEnd"/>
      <w:r w:rsidR="007E3C03">
        <w:t>, S</w:t>
      </w:r>
      <w:r>
        <w:t xml:space="preserve">. </w:t>
      </w:r>
      <w:r w:rsidR="007E3C03">
        <w:t>(</w:t>
      </w:r>
      <w:r>
        <w:t>2010</w:t>
      </w:r>
      <w:r w:rsidR="007E3C03">
        <w:t>)</w:t>
      </w:r>
      <w:r>
        <w:t xml:space="preserve">. Why Emotions Matter: Expectancy Violation and Affective Response Mediate the Emotional Victim Effect. </w:t>
      </w:r>
      <w:r w:rsidRPr="007E3C03">
        <w:rPr>
          <w:i/>
          <w:iCs/>
        </w:rPr>
        <w:t xml:space="preserve">Law and Human </w:t>
      </w:r>
      <w:proofErr w:type="spellStart"/>
      <w:r w:rsidRPr="007E3C03">
        <w:rPr>
          <w:i/>
          <w:iCs/>
        </w:rPr>
        <w:t>Behavior</w:t>
      </w:r>
      <w:proofErr w:type="spellEnd"/>
      <w:r w:rsidR="007E3C03">
        <w:t xml:space="preserve">, </w:t>
      </w:r>
      <w:r>
        <w:t>34 (5): 392–399.</w:t>
      </w:r>
      <w:r w:rsidR="007E3C03">
        <w:t xml:space="preserve"> </w:t>
      </w:r>
      <w:hyperlink r:id="rId1" w:history="1">
        <w:r w:rsidR="007E3C03" w:rsidRPr="00973524">
          <w:rPr>
            <w:rStyle w:val="Hyperlink"/>
          </w:rPr>
          <w:t>https://doi.org/10.1007/s10979-009-9208-6</w:t>
        </w:r>
      </w:hyperlink>
    </w:p>
    <w:p w14:paraId="2BDDEAD9" w14:textId="33EDA383" w:rsidR="00645E1A" w:rsidRPr="00743962" w:rsidRDefault="00645E1A" w:rsidP="00645E1A">
      <w:pPr>
        <w:pStyle w:val="Tabletitle"/>
        <w:spacing w:line="276" w:lineRule="auto"/>
        <w:jc w:val="both"/>
      </w:pPr>
      <w:r>
        <w:t xml:space="preserve">Australian Bureau of Statistics (ABS). </w:t>
      </w:r>
      <w:r w:rsidR="007E3C03">
        <w:t>(</w:t>
      </w:r>
      <w:r>
        <w:t>2022</w:t>
      </w:r>
      <w:r w:rsidR="007E3C03">
        <w:t>)</w:t>
      </w:r>
      <w:r>
        <w:t xml:space="preserve">. </w:t>
      </w:r>
      <w:r w:rsidRPr="007E3C03">
        <w:rPr>
          <w:i/>
          <w:iCs/>
        </w:rPr>
        <w:t>Personal Safety, Australia</w:t>
      </w:r>
      <w:r w:rsidR="007E3C03" w:rsidRPr="007E3C03">
        <w:rPr>
          <w:i/>
          <w:iCs/>
        </w:rPr>
        <w:t>,</w:t>
      </w:r>
      <w:r w:rsidRPr="007E3C03">
        <w:rPr>
          <w:i/>
          <w:iCs/>
        </w:rPr>
        <w:t xml:space="preserve"> 2021-22</w:t>
      </w:r>
      <w:r>
        <w:t xml:space="preserve">. </w:t>
      </w:r>
      <w:hyperlink r:id="rId2" w:history="1">
        <w:r w:rsidR="001B72FC" w:rsidRPr="005133F6">
          <w:rPr>
            <w:rStyle w:val="Hyperlink"/>
          </w:rPr>
          <w:t>https://www.abs.gov.au/statistics/people/crime-and-justice/personal-safety-australia/latest-release</w:t>
        </w:r>
      </w:hyperlink>
    </w:p>
    <w:p w14:paraId="7D5F8199" w14:textId="4483FFDB" w:rsidR="001B72FC" w:rsidRDefault="00645E1A" w:rsidP="001B72FC">
      <w:pPr>
        <w:pStyle w:val="Tabletitle"/>
        <w:spacing w:line="276" w:lineRule="auto"/>
        <w:jc w:val="both"/>
      </w:pPr>
      <w:r>
        <w:t xml:space="preserve">Australian Law Reform Commission. </w:t>
      </w:r>
      <w:r w:rsidR="007E3C03">
        <w:t>(</w:t>
      </w:r>
      <w:r>
        <w:t>1985</w:t>
      </w:r>
      <w:r w:rsidR="007E3C03">
        <w:t>)</w:t>
      </w:r>
      <w:r>
        <w:t xml:space="preserve">. Interim Report: Evidence. </w:t>
      </w:r>
      <w:r w:rsidRPr="007E3C03">
        <w:rPr>
          <w:i/>
          <w:iCs/>
        </w:rPr>
        <w:t>ALRC Report</w:t>
      </w:r>
      <w:r w:rsidR="007E3C03" w:rsidRPr="007E3C03">
        <w:rPr>
          <w:i/>
          <w:iCs/>
        </w:rPr>
        <w:t xml:space="preserve">, </w:t>
      </w:r>
      <w:r w:rsidRPr="007E3C03">
        <w:rPr>
          <w:i/>
          <w:iCs/>
        </w:rPr>
        <w:t>26</w:t>
      </w:r>
      <w:r w:rsidR="007E3C03">
        <w:t>, 1-419.</w:t>
      </w:r>
    </w:p>
    <w:p w14:paraId="02DA883F" w14:textId="1243C801" w:rsidR="001B72FC" w:rsidRPr="001B72FC" w:rsidRDefault="001B72FC" w:rsidP="001B72FC">
      <w:pPr>
        <w:pStyle w:val="Tabletitle"/>
        <w:spacing w:line="276" w:lineRule="auto"/>
        <w:jc w:val="both"/>
      </w:pPr>
      <w:r w:rsidRPr="001B72FC">
        <w:t xml:space="preserve">Australian Law Reform Commission. </w:t>
      </w:r>
      <w:r w:rsidR="007E3C03">
        <w:t>(</w:t>
      </w:r>
      <w:r w:rsidRPr="001B72FC">
        <w:t>2022</w:t>
      </w:r>
      <w:r w:rsidR="007E3C03">
        <w:t>)</w:t>
      </w:r>
      <w:r w:rsidRPr="001B72FC">
        <w:t xml:space="preserve">. Without </w:t>
      </w:r>
      <w:r w:rsidR="007E3C03">
        <w:t>f</w:t>
      </w:r>
      <w:r w:rsidRPr="001B72FC">
        <w:t xml:space="preserve">ear or </w:t>
      </w:r>
      <w:r w:rsidR="007E3C03">
        <w:t>f</w:t>
      </w:r>
      <w:r w:rsidRPr="001B72FC">
        <w:t xml:space="preserve">avour: </w:t>
      </w:r>
      <w:r w:rsidR="007E3C03">
        <w:t>J</w:t>
      </w:r>
      <w:r w:rsidRPr="001B72FC">
        <w:t xml:space="preserve">udicial </w:t>
      </w:r>
      <w:r w:rsidR="007E3C03">
        <w:t>i</w:t>
      </w:r>
      <w:r w:rsidRPr="001B72FC">
        <w:t xml:space="preserve">mpartiality and the </w:t>
      </w:r>
      <w:r w:rsidR="007E3C03">
        <w:t>l</w:t>
      </w:r>
      <w:r w:rsidRPr="001B72FC">
        <w:t xml:space="preserve">aw on </w:t>
      </w:r>
      <w:r w:rsidR="007E3C03">
        <w:t>b</w:t>
      </w:r>
      <w:r w:rsidRPr="001B72FC">
        <w:t>ias.</w:t>
      </w:r>
    </w:p>
    <w:p w14:paraId="5A929AFC" w14:textId="79824802" w:rsidR="007E3C03" w:rsidRPr="007E3C03" w:rsidRDefault="00645E1A" w:rsidP="007E3C03">
      <w:pPr>
        <w:pStyle w:val="Tabletitle"/>
        <w:spacing w:line="276" w:lineRule="auto"/>
        <w:jc w:val="both"/>
      </w:pPr>
      <w:proofErr w:type="spellStart"/>
      <w:r w:rsidRPr="007E3C03">
        <w:rPr>
          <w:lang w:val="it-IT"/>
        </w:rPr>
        <w:t>Avdibegovic</w:t>
      </w:r>
      <w:proofErr w:type="spellEnd"/>
      <w:r w:rsidRPr="007E3C03">
        <w:rPr>
          <w:lang w:val="it-IT"/>
        </w:rPr>
        <w:t xml:space="preserve">, E., Brkic, </w:t>
      </w:r>
      <w:r w:rsidR="007E3C03" w:rsidRPr="007E3C03">
        <w:rPr>
          <w:lang w:val="it-IT"/>
        </w:rPr>
        <w:t>M., &amp;</w:t>
      </w:r>
      <w:r w:rsidRPr="007E3C03">
        <w:rPr>
          <w:lang w:val="it-IT"/>
        </w:rPr>
        <w:t xml:space="preserve"> </w:t>
      </w:r>
      <w:proofErr w:type="spellStart"/>
      <w:r w:rsidRPr="007E3C03">
        <w:rPr>
          <w:lang w:val="it-IT"/>
        </w:rPr>
        <w:t>Sinanovic</w:t>
      </w:r>
      <w:proofErr w:type="spellEnd"/>
      <w:r w:rsidR="007E3C03">
        <w:rPr>
          <w:lang w:val="it-IT"/>
        </w:rPr>
        <w:t>, O</w:t>
      </w:r>
      <w:r w:rsidRPr="007E3C03">
        <w:rPr>
          <w:lang w:val="it-IT"/>
        </w:rPr>
        <w:t xml:space="preserve">. </w:t>
      </w:r>
      <w:r w:rsidR="007E3C03">
        <w:rPr>
          <w:lang w:val="it-IT"/>
        </w:rPr>
        <w:t>(</w:t>
      </w:r>
      <w:r w:rsidRPr="007E3C03">
        <w:rPr>
          <w:lang w:val="it-IT"/>
        </w:rPr>
        <w:t>2017</w:t>
      </w:r>
      <w:r w:rsidR="007E3C03">
        <w:rPr>
          <w:lang w:val="it-IT"/>
        </w:rPr>
        <w:t>)</w:t>
      </w:r>
      <w:r w:rsidRPr="007E3C03">
        <w:rPr>
          <w:lang w:val="it-IT"/>
        </w:rPr>
        <w:t xml:space="preserve">. </w:t>
      </w:r>
      <w:r>
        <w:t xml:space="preserve">Emotional </w:t>
      </w:r>
      <w:r w:rsidR="007E3C03">
        <w:t>p</w:t>
      </w:r>
      <w:r>
        <w:t xml:space="preserve">rofile of </w:t>
      </w:r>
      <w:r w:rsidR="007E3C03">
        <w:t>w</w:t>
      </w:r>
      <w:r>
        <w:t xml:space="preserve">omen </w:t>
      </w:r>
      <w:r w:rsidR="007E3C03">
        <w:t>v</w:t>
      </w:r>
      <w:r>
        <w:t xml:space="preserve">ictims of </w:t>
      </w:r>
      <w:r w:rsidR="007E3C03">
        <w:t>d</w:t>
      </w:r>
      <w:r>
        <w:t xml:space="preserve">omestic </w:t>
      </w:r>
      <w:r w:rsidR="007E3C03">
        <w:t>v</w:t>
      </w:r>
      <w:r>
        <w:t xml:space="preserve">iolence. </w:t>
      </w:r>
      <w:r w:rsidRPr="007E3C03">
        <w:rPr>
          <w:i/>
          <w:iCs/>
        </w:rPr>
        <w:t>Mater Socio</w:t>
      </w:r>
      <w:r w:rsidR="007E3C03" w:rsidRPr="007E3C03">
        <w:rPr>
          <w:i/>
          <w:iCs/>
        </w:rPr>
        <w:t xml:space="preserve"> M</w:t>
      </w:r>
      <w:r w:rsidRPr="007E3C03">
        <w:rPr>
          <w:i/>
          <w:iCs/>
        </w:rPr>
        <w:t>ed</w:t>
      </w:r>
      <w:r w:rsidR="007E3C03" w:rsidRPr="007E3C03">
        <w:rPr>
          <w:i/>
          <w:iCs/>
        </w:rPr>
        <w:t>ica,</w:t>
      </w:r>
      <w:r w:rsidRPr="007E3C03">
        <w:rPr>
          <w:i/>
          <w:iCs/>
        </w:rPr>
        <w:t xml:space="preserve"> 29</w:t>
      </w:r>
      <w:r>
        <w:t>(2)</w:t>
      </w:r>
      <w:r w:rsidR="007E3C03">
        <w:t>,</w:t>
      </w:r>
      <w:r>
        <w:t xml:space="preserve"> 109-112.</w:t>
      </w:r>
      <w:r w:rsidR="007E3C03">
        <w:t xml:space="preserve"> </w:t>
      </w:r>
      <w:hyperlink r:id="rId3" w:history="1">
        <w:r w:rsidR="007E3C03" w:rsidRPr="00973524">
          <w:rPr>
            <w:rStyle w:val="Hyperlink"/>
          </w:rPr>
          <w:t>https://doi.org/10.5455/msm.2017.29.109-113</w:t>
        </w:r>
      </w:hyperlink>
    </w:p>
    <w:p w14:paraId="18C9B4B2" w14:textId="4FB7140E" w:rsidR="00645E1A" w:rsidRDefault="00645E1A" w:rsidP="00645E1A">
      <w:pPr>
        <w:pStyle w:val="Tabletitle"/>
        <w:spacing w:line="276" w:lineRule="auto"/>
        <w:jc w:val="both"/>
      </w:pPr>
      <w:r>
        <w:t xml:space="preserve">Bandes, S. A., </w:t>
      </w:r>
      <w:r w:rsidR="007E3C03">
        <w:t>&amp;</w:t>
      </w:r>
      <w:r>
        <w:t xml:space="preserve"> Salerno</w:t>
      </w:r>
      <w:r w:rsidR="007E3C03">
        <w:t>,</w:t>
      </w:r>
      <w:r w:rsidR="007E3C03" w:rsidRPr="007E3C03">
        <w:t xml:space="preserve"> </w:t>
      </w:r>
      <w:r w:rsidR="007E3C03">
        <w:t>J. M.</w:t>
      </w:r>
      <w:r>
        <w:t xml:space="preserve"> </w:t>
      </w:r>
      <w:r w:rsidR="007E3C03">
        <w:t>(</w:t>
      </w:r>
      <w:r>
        <w:t>2014</w:t>
      </w:r>
      <w:r w:rsidR="007E3C03">
        <w:t>)</w:t>
      </w:r>
      <w:r>
        <w:t xml:space="preserve">. Emotion, </w:t>
      </w:r>
      <w:r w:rsidR="007E3C03">
        <w:t>p</w:t>
      </w:r>
      <w:r>
        <w:t xml:space="preserve">roof and </w:t>
      </w:r>
      <w:r w:rsidR="007E3C03">
        <w:t>p</w:t>
      </w:r>
      <w:r>
        <w:t xml:space="preserve">rejudice: The </w:t>
      </w:r>
      <w:r w:rsidR="007E3C03">
        <w:t>c</w:t>
      </w:r>
      <w:r>
        <w:t xml:space="preserve">ognitive </w:t>
      </w:r>
      <w:r w:rsidR="007E3C03">
        <w:t>s</w:t>
      </w:r>
      <w:r>
        <w:t xml:space="preserve">cience of </w:t>
      </w:r>
      <w:r w:rsidR="007E3C03">
        <w:t>g</w:t>
      </w:r>
      <w:r>
        <w:t xml:space="preserve">ruesome </w:t>
      </w:r>
      <w:r w:rsidR="007E3C03">
        <w:t>p</w:t>
      </w:r>
      <w:r>
        <w:t xml:space="preserve">hotos and </w:t>
      </w:r>
      <w:r w:rsidR="007E3C03">
        <w:t>v</w:t>
      </w:r>
      <w:r>
        <w:t xml:space="preserve">ictim </w:t>
      </w:r>
      <w:r w:rsidR="007E3C03">
        <w:t>i</w:t>
      </w:r>
      <w:r>
        <w:t xml:space="preserve">mpact </w:t>
      </w:r>
      <w:r w:rsidR="007E3C03">
        <w:t>s</w:t>
      </w:r>
      <w:r>
        <w:t xml:space="preserve">tatements. </w:t>
      </w:r>
      <w:r w:rsidRPr="007E3C03">
        <w:rPr>
          <w:i/>
          <w:iCs/>
        </w:rPr>
        <w:t>Arizona State Law Journal</w:t>
      </w:r>
      <w:r w:rsidR="007E3C03" w:rsidRPr="007E3C03">
        <w:rPr>
          <w:i/>
          <w:iCs/>
        </w:rPr>
        <w:t>,</w:t>
      </w:r>
      <w:r w:rsidRPr="007E3C03">
        <w:rPr>
          <w:i/>
          <w:iCs/>
        </w:rPr>
        <w:t xml:space="preserve"> 46</w:t>
      </w:r>
      <w:r w:rsidR="007E3C03">
        <w:t>,</w:t>
      </w:r>
      <w:r>
        <w:t xml:space="preserve"> 1003–1056.</w:t>
      </w:r>
    </w:p>
    <w:p w14:paraId="0D25CC29" w14:textId="0BA146E1" w:rsidR="00645E1A" w:rsidRDefault="00645E1A" w:rsidP="00645E1A">
      <w:pPr>
        <w:pStyle w:val="Tabletitle"/>
        <w:spacing w:line="276" w:lineRule="auto"/>
        <w:jc w:val="both"/>
      </w:pPr>
      <w:r>
        <w:t xml:space="preserve">Birdsey, E., </w:t>
      </w:r>
      <w:r w:rsidR="007E3C03">
        <w:t>&amp;</w:t>
      </w:r>
      <w:r>
        <w:t xml:space="preserve"> Snowball</w:t>
      </w:r>
      <w:r w:rsidR="007E3C03">
        <w:t>, L</w:t>
      </w:r>
      <w:r>
        <w:t xml:space="preserve">. </w:t>
      </w:r>
      <w:r w:rsidR="007E3C03">
        <w:t>(</w:t>
      </w:r>
      <w:r>
        <w:t>2013</w:t>
      </w:r>
      <w:r w:rsidR="007E3C03">
        <w:t>)</w:t>
      </w:r>
      <w:r>
        <w:t xml:space="preserve">. </w:t>
      </w:r>
      <w:r w:rsidRPr="001471FD">
        <w:rPr>
          <w:i/>
          <w:iCs/>
        </w:rPr>
        <w:t xml:space="preserve">Reporting </w:t>
      </w:r>
      <w:r w:rsidR="007E3C03" w:rsidRPr="001471FD">
        <w:rPr>
          <w:i/>
          <w:iCs/>
        </w:rPr>
        <w:t>v</w:t>
      </w:r>
      <w:r w:rsidRPr="001471FD">
        <w:rPr>
          <w:i/>
          <w:iCs/>
        </w:rPr>
        <w:t>iolence to</w:t>
      </w:r>
      <w:r w:rsidR="007E3C03" w:rsidRPr="001471FD">
        <w:rPr>
          <w:i/>
          <w:iCs/>
        </w:rPr>
        <w:t xml:space="preserve"> p</w:t>
      </w:r>
      <w:r w:rsidRPr="001471FD">
        <w:rPr>
          <w:i/>
          <w:iCs/>
        </w:rPr>
        <w:t xml:space="preserve">olice: A </w:t>
      </w:r>
      <w:r w:rsidR="007E3C03" w:rsidRPr="001471FD">
        <w:rPr>
          <w:i/>
          <w:iCs/>
        </w:rPr>
        <w:t>s</w:t>
      </w:r>
      <w:r w:rsidRPr="001471FD">
        <w:rPr>
          <w:i/>
          <w:iCs/>
        </w:rPr>
        <w:t xml:space="preserve">urvey of </w:t>
      </w:r>
      <w:r w:rsidR="007E3C03" w:rsidRPr="001471FD">
        <w:rPr>
          <w:i/>
          <w:iCs/>
        </w:rPr>
        <w:t>v</w:t>
      </w:r>
      <w:r w:rsidRPr="001471FD">
        <w:rPr>
          <w:i/>
          <w:iCs/>
        </w:rPr>
        <w:t xml:space="preserve">ictims </w:t>
      </w:r>
      <w:r w:rsidR="007E3C03" w:rsidRPr="001471FD">
        <w:rPr>
          <w:i/>
          <w:iCs/>
        </w:rPr>
        <w:t>a</w:t>
      </w:r>
      <w:r w:rsidRPr="001471FD">
        <w:rPr>
          <w:i/>
          <w:iCs/>
        </w:rPr>
        <w:t xml:space="preserve">ttending </w:t>
      </w:r>
      <w:r w:rsidR="007E3C03" w:rsidRPr="001471FD">
        <w:rPr>
          <w:i/>
          <w:iCs/>
        </w:rPr>
        <w:t>d</w:t>
      </w:r>
      <w:r w:rsidRPr="001471FD">
        <w:rPr>
          <w:i/>
          <w:iCs/>
        </w:rPr>
        <w:t xml:space="preserve">omestic </w:t>
      </w:r>
      <w:r w:rsidR="007E3C03" w:rsidRPr="001471FD">
        <w:rPr>
          <w:i/>
          <w:iCs/>
        </w:rPr>
        <w:t>v</w:t>
      </w:r>
      <w:r w:rsidRPr="001471FD">
        <w:rPr>
          <w:i/>
          <w:iCs/>
        </w:rPr>
        <w:t xml:space="preserve">iolence </w:t>
      </w:r>
      <w:r w:rsidR="007E3C03" w:rsidRPr="001471FD">
        <w:rPr>
          <w:i/>
          <w:iCs/>
        </w:rPr>
        <w:t>s</w:t>
      </w:r>
      <w:r w:rsidRPr="001471FD">
        <w:rPr>
          <w:i/>
          <w:iCs/>
        </w:rPr>
        <w:t>ervices</w:t>
      </w:r>
      <w:r>
        <w:t>. Crime and Justice Statistics no. 91. NSW Bureau of Crime Statistics and Research.</w:t>
      </w:r>
    </w:p>
    <w:p w14:paraId="02F5EE68" w14:textId="4857D6DE" w:rsidR="001471FD" w:rsidRPr="001471FD" w:rsidRDefault="00645E1A" w:rsidP="001471FD">
      <w:pPr>
        <w:pStyle w:val="Tabletitle"/>
        <w:spacing w:line="276" w:lineRule="auto"/>
        <w:jc w:val="both"/>
      </w:pPr>
      <w:r>
        <w:t xml:space="preserve">Bosma, A. K., Mulder, </w:t>
      </w:r>
      <w:r w:rsidR="001471FD">
        <w:t xml:space="preserve">E., </w:t>
      </w:r>
      <w:r>
        <w:t xml:space="preserve">Pemberton, </w:t>
      </w:r>
      <w:r w:rsidR="001471FD">
        <w:t>A., &amp;</w:t>
      </w:r>
      <w:r>
        <w:t xml:space="preserve"> </w:t>
      </w:r>
      <w:proofErr w:type="spellStart"/>
      <w:r>
        <w:t>Vingerhoets</w:t>
      </w:r>
      <w:proofErr w:type="spellEnd"/>
      <w:r w:rsidR="001471FD">
        <w:t>, A. J. J. M</w:t>
      </w:r>
      <w:r>
        <w:t xml:space="preserve">. </w:t>
      </w:r>
      <w:r w:rsidR="001471FD">
        <w:t>(</w:t>
      </w:r>
      <w:r>
        <w:t>2018</w:t>
      </w:r>
      <w:r w:rsidR="001471FD">
        <w:t>)</w:t>
      </w:r>
      <w:r>
        <w:t xml:space="preserve">. Observer </w:t>
      </w:r>
      <w:r w:rsidR="001471FD">
        <w:t>r</w:t>
      </w:r>
      <w:r>
        <w:t xml:space="preserve">eactions to </w:t>
      </w:r>
      <w:r w:rsidR="001471FD">
        <w:t>e</w:t>
      </w:r>
      <w:r>
        <w:t xml:space="preserve">motional </w:t>
      </w:r>
      <w:r w:rsidR="001471FD">
        <w:t>v</w:t>
      </w:r>
      <w:r>
        <w:t xml:space="preserve">ictims of </w:t>
      </w:r>
      <w:r w:rsidR="001471FD">
        <w:t>s</w:t>
      </w:r>
      <w:r>
        <w:t xml:space="preserve">erious </w:t>
      </w:r>
      <w:r w:rsidR="001471FD">
        <w:t>c</w:t>
      </w:r>
      <w:r>
        <w:t xml:space="preserve">rimes: Stereotypes and </w:t>
      </w:r>
      <w:r w:rsidR="001471FD">
        <w:t>e</w:t>
      </w:r>
      <w:r>
        <w:t xml:space="preserve">xpectancy </w:t>
      </w:r>
      <w:r w:rsidR="001471FD">
        <w:t>v</w:t>
      </w:r>
      <w:r>
        <w:t xml:space="preserve">iolations. </w:t>
      </w:r>
      <w:r w:rsidRPr="001471FD">
        <w:rPr>
          <w:i/>
          <w:iCs/>
        </w:rPr>
        <w:t>Psychology, Crime &amp; Law 24</w:t>
      </w:r>
      <w:r>
        <w:t>(9)</w:t>
      </w:r>
      <w:r w:rsidR="001471FD">
        <w:t>,</w:t>
      </w:r>
      <w:r>
        <w:t xml:space="preserve"> 957-971.</w:t>
      </w:r>
      <w:r w:rsidR="001471FD" w:rsidRPr="001471FD">
        <w:t xml:space="preserve"> </w:t>
      </w:r>
      <w:hyperlink r:id="rId4" w:history="1">
        <w:r w:rsidR="001471FD" w:rsidRPr="00973524">
          <w:rPr>
            <w:rStyle w:val="Hyperlink"/>
          </w:rPr>
          <w:t>https://doi.org/10.1080/1068316X.2018.1467910</w:t>
        </w:r>
      </w:hyperlink>
    </w:p>
    <w:p w14:paraId="4582F938" w14:textId="1D417BEB" w:rsidR="001471FD" w:rsidRPr="001471FD" w:rsidRDefault="00645E1A" w:rsidP="001471FD">
      <w:pPr>
        <w:pStyle w:val="Tabletitle"/>
        <w:spacing w:line="276" w:lineRule="auto"/>
        <w:jc w:val="both"/>
      </w:pPr>
      <w:r>
        <w:t xml:space="preserve">Chaiken, S. </w:t>
      </w:r>
      <w:r w:rsidR="001471FD">
        <w:t>(</w:t>
      </w:r>
      <w:r>
        <w:t>1980</w:t>
      </w:r>
      <w:r w:rsidR="001471FD">
        <w:t>)</w:t>
      </w:r>
      <w:r>
        <w:t xml:space="preserve">. Heuristic versus </w:t>
      </w:r>
      <w:r w:rsidR="001471FD">
        <w:t>s</w:t>
      </w:r>
      <w:r>
        <w:t xml:space="preserve">ystematic </w:t>
      </w:r>
      <w:proofErr w:type="spellStart"/>
      <w:r w:rsidR="001471FD">
        <w:t>i</w:t>
      </w:r>
      <w:r>
        <w:t>nformation</w:t>
      </w:r>
      <w:r w:rsidR="001471FD">
        <w:t>p</w:t>
      </w:r>
      <w:r>
        <w:t>Processing</w:t>
      </w:r>
      <w:proofErr w:type="spellEnd"/>
      <w:r>
        <w:t xml:space="preserve"> and the </w:t>
      </w:r>
      <w:r w:rsidR="001471FD">
        <w:t>u</w:t>
      </w:r>
      <w:r>
        <w:t xml:space="preserve">se of </w:t>
      </w:r>
      <w:r w:rsidR="001471FD">
        <w:t>s</w:t>
      </w:r>
      <w:r>
        <w:t xml:space="preserve">ource versus </w:t>
      </w:r>
      <w:r w:rsidR="001471FD">
        <w:t>m</w:t>
      </w:r>
      <w:r>
        <w:t xml:space="preserve">essage </w:t>
      </w:r>
      <w:r w:rsidR="001471FD">
        <w:t>c</w:t>
      </w:r>
      <w:r>
        <w:t xml:space="preserve">ues in </w:t>
      </w:r>
      <w:r w:rsidR="001471FD">
        <w:t>p</w:t>
      </w:r>
      <w:r>
        <w:t xml:space="preserve">ersuasion. </w:t>
      </w:r>
      <w:r w:rsidRPr="001471FD">
        <w:rPr>
          <w:i/>
          <w:iCs/>
        </w:rPr>
        <w:t>Journal of Personality and Social Psychology 39</w:t>
      </w:r>
      <w:r>
        <w:t>(5)</w:t>
      </w:r>
      <w:r w:rsidR="001471FD">
        <w:t>,</w:t>
      </w:r>
      <w:r>
        <w:t xml:space="preserve"> 752-766.</w:t>
      </w:r>
      <w:r w:rsidR="001471FD" w:rsidRPr="001471FD">
        <w:t xml:space="preserve"> </w:t>
      </w:r>
      <w:hyperlink r:id="rId5" w:history="1">
        <w:r w:rsidR="001471FD" w:rsidRPr="00973524">
          <w:rPr>
            <w:rStyle w:val="Hyperlink"/>
          </w:rPr>
          <w:t>https://doi.org/10.1037/0022-3514.39.5.752</w:t>
        </w:r>
      </w:hyperlink>
    </w:p>
    <w:p w14:paraId="53B7B600" w14:textId="77777777" w:rsidR="00645E1A" w:rsidRDefault="00645E1A" w:rsidP="00645E1A">
      <w:pPr>
        <w:pStyle w:val="Tabletitle"/>
        <w:spacing w:line="276" w:lineRule="auto"/>
        <w:jc w:val="both"/>
      </w:pPr>
      <w:r>
        <w:t>Crimes (Domestic and Family Violence) Legislation Amendment Act 2015 (ACT) ss 77-81G.</w:t>
      </w:r>
    </w:p>
    <w:p w14:paraId="49CDF092" w14:textId="77777777" w:rsidR="00645E1A" w:rsidRDefault="00645E1A" w:rsidP="00645E1A">
      <w:pPr>
        <w:pStyle w:val="Tabletitle"/>
        <w:spacing w:line="276" w:lineRule="auto"/>
        <w:jc w:val="both"/>
      </w:pPr>
      <w:r>
        <w:t>Crimes (Domestic and Personal Violence) Act 2007 (NSW) s 9, s 289</w:t>
      </w:r>
      <w:proofErr w:type="gramStart"/>
      <w:r>
        <w:t>F(</w:t>
      </w:r>
      <w:proofErr w:type="gramEnd"/>
      <w:r>
        <w:t>1), s 289K.</w:t>
      </w:r>
    </w:p>
    <w:p w14:paraId="7C92F152" w14:textId="77777777" w:rsidR="00645E1A" w:rsidRDefault="00645E1A" w:rsidP="00645E1A">
      <w:pPr>
        <w:pStyle w:val="Tabletitle"/>
        <w:spacing w:line="276" w:lineRule="auto"/>
        <w:jc w:val="both"/>
      </w:pPr>
      <w:r>
        <w:t>Criminal Procedure Act 1986 (NSW) ss 283</w:t>
      </w:r>
      <w:proofErr w:type="gramStart"/>
      <w:r>
        <w:t>E(</w:t>
      </w:r>
      <w:proofErr w:type="gramEnd"/>
      <w:r>
        <w:t>1)</w:t>
      </w:r>
      <w:proofErr w:type="gramStart"/>
      <w:r>
        <w:t>–(</w:t>
      </w:r>
      <w:proofErr w:type="gramEnd"/>
      <w:r>
        <w:t>3), 289D, 289D(b), 289</w:t>
      </w:r>
      <w:proofErr w:type="gramStart"/>
      <w:r>
        <w:t>F(</w:t>
      </w:r>
      <w:proofErr w:type="gramEnd"/>
      <w:r>
        <w:t>2), 289</w:t>
      </w:r>
      <w:proofErr w:type="gramStart"/>
      <w:r>
        <w:t>F(</w:t>
      </w:r>
      <w:proofErr w:type="gramEnd"/>
      <w:r>
        <w:t>4), 289</w:t>
      </w:r>
      <w:proofErr w:type="gramStart"/>
      <w:r>
        <w:t>F(</w:t>
      </w:r>
      <w:proofErr w:type="gramEnd"/>
      <w:r>
        <w:t>5), 289G.</w:t>
      </w:r>
    </w:p>
    <w:p w14:paraId="2C40C04A" w14:textId="77777777" w:rsidR="00645E1A" w:rsidRDefault="00645E1A" w:rsidP="00645E1A">
      <w:pPr>
        <w:pStyle w:val="Tabletitle"/>
        <w:spacing w:line="276" w:lineRule="auto"/>
        <w:jc w:val="both"/>
      </w:pPr>
      <w:r>
        <w:t>Criminal Procedure Act 2009 (Vic) ss 387C-387N.</w:t>
      </w:r>
    </w:p>
    <w:p w14:paraId="4B1DA721" w14:textId="77777777" w:rsidR="00645E1A" w:rsidRDefault="00645E1A" w:rsidP="00645E1A">
      <w:pPr>
        <w:pStyle w:val="Tabletitle"/>
        <w:spacing w:line="276" w:lineRule="auto"/>
        <w:jc w:val="both"/>
      </w:pPr>
      <w:r>
        <w:t>Criminal Procedure Amendment (Domestic Violence Complainants) Act 2014 (NSW) pt 4B, s 289</w:t>
      </w:r>
      <w:proofErr w:type="gramStart"/>
      <w:r>
        <w:t>I(</w:t>
      </w:r>
      <w:proofErr w:type="gramEnd"/>
      <w:r>
        <w:t>1).</w:t>
      </w:r>
    </w:p>
    <w:p w14:paraId="4BA18B6F" w14:textId="4CC935A8" w:rsidR="00645E1A" w:rsidRDefault="00645E1A" w:rsidP="00645E1A">
      <w:pPr>
        <w:pStyle w:val="Tabletitle"/>
        <w:spacing w:line="276" w:lineRule="auto"/>
        <w:jc w:val="both"/>
      </w:pPr>
      <w:r>
        <w:t xml:space="preserve">Damásio, A. R. </w:t>
      </w:r>
      <w:r w:rsidR="001471FD">
        <w:t>(</w:t>
      </w:r>
      <w:r>
        <w:t>2005</w:t>
      </w:r>
      <w:r w:rsidR="001471FD">
        <w:t>)</w:t>
      </w:r>
      <w:r>
        <w:t xml:space="preserve">. </w:t>
      </w:r>
      <w:r w:rsidRPr="001471FD">
        <w:rPr>
          <w:i/>
          <w:iCs/>
        </w:rPr>
        <w:t xml:space="preserve">Descartes' </w:t>
      </w:r>
      <w:r w:rsidR="001471FD" w:rsidRPr="001471FD">
        <w:rPr>
          <w:i/>
          <w:iCs/>
        </w:rPr>
        <w:t>e</w:t>
      </w:r>
      <w:r w:rsidRPr="001471FD">
        <w:rPr>
          <w:i/>
          <w:iCs/>
        </w:rPr>
        <w:t xml:space="preserve">rror: Emotion, </w:t>
      </w:r>
      <w:r w:rsidR="001471FD" w:rsidRPr="001471FD">
        <w:rPr>
          <w:i/>
          <w:iCs/>
        </w:rPr>
        <w:t>r</w:t>
      </w:r>
      <w:r w:rsidRPr="001471FD">
        <w:rPr>
          <w:i/>
          <w:iCs/>
        </w:rPr>
        <w:t xml:space="preserve">eason, and the </w:t>
      </w:r>
      <w:r w:rsidR="001471FD" w:rsidRPr="001471FD">
        <w:rPr>
          <w:i/>
          <w:iCs/>
        </w:rPr>
        <w:t>h</w:t>
      </w:r>
      <w:r w:rsidRPr="001471FD">
        <w:rPr>
          <w:i/>
          <w:iCs/>
        </w:rPr>
        <w:t xml:space="preserve">uman </w:t>
      </w:r>
      <w:r w:rsidR="001471FD" w:rsidRPr="001471FD">
        <w:rPr>
          <w:i/>
          <w:iCs/>
        </w:rPr>
        <w:t>b</w:t>
      </w:r>
      <w:r w:rsidRPr="001471FD">
        <w:rPr>
          <w:i/>
          <w:iCs/>
        </w:rPr>
        <w:t>rain</w:t>
      </w:r>
      <w:r>
        <w:t>. Penguin Books.</w:t>
      </w:r>
    </w:p>
    <w:p w14:paraId="0F6EF120" w14:textId="58D923AE" w:rsidR="00645E1A" w:rsidRDefault="00645E1A" w:rsidP="00645E1A">
      <w:pPr>
        <w:pStyle w:val="Tabletitle"/>
        <w:spacing w:line="276" w:lineRule="auto"/>
        <w:jc w:val="both"/>
      </w:pPr>
      <w:r>
        <w:t xml:space="preserve">Epstein, D., </w:t>
      </w:r>
      <w:r w:rsidR="001471FD">
        <w:t>&amp;</w:t>
      </w:r>
      <w:r>
        <w:t xml:space="preserve"> Goodman</w:t>
      </w:r>
      <w:r w:rsidR="001471FD">
        <w:t>,</w:t>
      </w:r>
      <w:r w:rsidR="001471FD" w:rsidRPr="001471FD">
        <w:t xml:space="preserve"> </w:t>
      </w:r>
      <w:r w:rsidR="001471FD">
        <w:t>L. A.</w:t>
      </w:r>
      <w:r>
        <w:t xml:space="preserve"> </w:t>
      </w:r>
      <w:r w:rsidR="001471FD">
        <w:t>(</w:t>
      </w:r>
      <w:r>
        <w:t>2018</w:t>
      </w:r>
      <w:r w:rsidR="001471FD">
        <w:t>)</w:t>
      </w:r>
      <w:r>
        <w:t xml:space="preserve">. Discounting </w:t>
      </w:r>
      <w:r w:rsidR="001471FD">
        <w:t>w</w:t>
      </w:r>
      <w:r>
        <w:t xml:space="preserve">omen: Doubting </w:t>
      </w:r>
      <w:r w:rsidR="001471FD">
        <w:t>d</w:t>
      </w:r>
      <w:r>
        <w:t xml:space="preserve">omestic Violence </w:t>
      </w:r>
      <w:r w:rsidR="001471FD">
        <w:t>s</w:t>
      </w:r>
      <w:r>
        <w:t xml:space="preserve">urvivors’ </w:t>
      </w:r>
      <w:r w:rsidR="001471FD">
        <w:t>c</w:t>
      </w:r>
      <w:r>
        <w:t xml:space="preserve">redibility and </w:t>
      </w:r>
      <w:r w:rsidR="001471FD">
        <w:t>d</w:t>
      </w:r>
      <w:r>
        <w:t xml:space="preserve">ismissing </w:t>
      </w:r>
      <w:r w:rsidR="001471FD">
        <w:t>t</w:t>
      </w:r>
      <w:r>
        <w:t xml:space="preserve">heir </w:t>
      </w:r>
      <w:r w:rsidR="001471FD">
        <w:t>e</w:t>
      </w:r>
      <w:r>
        <w:t xml:space="preserve">xperiences. </w:t>
      </w:r>
      <w:r w:rsidRPr="001471FD">
        <w:rPr>
          <w:i/>
          <w:iCs/>
        </w:rPr>
        <w:t>University of Pennsylvania Law Review</w:t>
      </w:r>
      <w:r w:rsidR="001471FD" w:rsidRPr="001471FD">
        <w:rPr>
          <w:i/>
          <w:iCs/>
        </w:rPr>
        <w:t>,</w:t>
      </w:r>
      <w:r w:rsidRPr="001471FD">
        <w:rPr>
          <w:i/>
          <w:iCs/>
        </w:rPr>
        <w:t xml:space="preserve"> 167</w:t>
      </w:r>
      <w:r w:rsidR="001471FD">
        <w:t>,</w:t>
      </w:r>
      <w:r>
        <w:t xml:space="preserve"> 399-451.</w:t>
      </w:r>
    </w:p>
    <w:p w14:paraId="2E251D43" w14:textId="77777777" w:rsidR="00645E1A" w:rsidRDefault="00645E1A" w:rsidP="00645E1A">
      <w:pPr>
        <w:pStyle w:val="Tabletitle"/>
        <w:spacing w:line="276" w:lineRule="auto"/>
        <w:jc w:val="both"/>
      </w:pPr>
      <w:r>
        <w:t>Evidence Act 1995 (NSW) ss 65-66A, 101A, 137.</w:t>
      </w:r>
    </w:p>
    <w:p w14:paraId="60E05580" w14:textId="77777777" w:rsidR="00645E1A" w:rsidRDefault="00645E1A" w:rsidP="00645E1A">
      <w:pPr>
        <w:pStyle w:val="Tabletitle"/>
        <w:spacing w:line="276" w:lineRule="auto"/>
        <w:jc w:val="both"/>
      </w:pPr>
      <w:r>
        <w:t>Evidence Amendment Act 2016 (NZ) s 106.</w:t>
      </w:r>
    </w:p>
    <w:p w14:paraId="6DB0AF9A" w14:textId="53AADA52" w:rsidR="001471FD" w:rsidRPr="001471FD" w:rsidRDefault="00645E1A" w:rsidP="001471FD">
      <w:pPr>
        <w:pStyle w:val="Tabletitle"/>
        <w:spacing w:line="276" w:lineRule="auto"/>
        <w:jc w:val="both"/>
      </w:pPr>
      <w:r w:rsidRPr="001530DC">
        <w:rPr>
          <w:lang w:val="it-IT"/>
        </w:rPr>
        <w:t xml:space="preserve">Fernández-Aguilar, L., Navarro-Bravo, </w:t>
      </w:r>
      <w:r w:rsidR="001471FD">
        <w:rPr>
          <w:lang w:val="it-IT"/>
        </w:rPr>
        <w:t xml:space="preserve">B., </w:t>
      </w:r>
      <w:proofErr w:type="spellStart"/>
      <w:r w:rsidRPr="001530DC">
        <w:rPr>
          <w:lang w:val="it-IT"/>
        </w:rPr>
        <w:t>Ricarte</w:t>
      </w:r>
      <w:proofErr w:type="spellEnd"/>
      <w:r w:rsidRPr="001530DC">
        <w:rPr>
          <w:lang w:val="it-IT"/>
        </w:rPr>
        <w:t xml:space="preserve">, </w:t>
      </w:r>
      <w:r w:rsidR="001471FD">
        <w:rPr>
          <w:lang w:val="it-IT"/>
        </w:rPr>
        <w:t xml:space="preserve">J., </w:t>
      </w:r>
      <w:r w:rsidRPr="001530DC">
        <w:rPr>
          <w:lang w:val="it-IT"/>
        </w:rPr>
        <w:t>Ros,</w:t>
      </w:r>
      <w:r w:rsidR="001471FD">
        <w:rPr>
          <w:lang w:val="it-IT"/>
        </w:rPr>
        <w:t xml:space="preserve"> L.,</w:t>
      </w:r>
      <w:r w:rsidRPr="001530DC">
        <w:rPr>
          <w:lang w:val="it-IT"/>
        </w:rPr>
        <w:t xml:space="preserve"> </w:t>
      </w:r>
      <w:r w:rsidR="001471FD">
        <w:rPr>
          <w:lang w:val="it-IT"/>
        </w:rPr>
        <w:t>&amp;</w:t>
      </w:r>
      <w:r w:rsidRPr="001530DC">
        <w:rPr>
          <w:lang w:val="it-IT"/>
        </w:rPr>
        <w:t xml:space="preserve"> Latorre</w:t>
      </w:r>
      <w:r w:rsidR="001471FD">
        <w:rPr>
          <w:lang w:val="it-IT"/>
        </w:rPr>
        <w:t>, J. M</w:t>
      </w:r>
      <w:r w:rsidRPr="001530DC">
        <w:rPr>
          <w:lang w:val="it-IT"/>
        </w:rPr>
        <w:t xml:space="preserve">. </w:t>
      </w:r>
      <w:r w:rsidR="001471FD">
        <w:rPr>
          <w:lang w:val="it-IT"/>
        </w:rPr>
        <w:t>(</w:t>
      </w:r>
      <w:r w:rsidRPr="001471FD">
        <w:rPr>
          <w:lang w:val="it-IT"/>
        </w:rPr>
        <w:t>2019</w:t>
      </w:r>
      <w:r w:rsidR="001471FD">
        <w:rPr>
          <w:lang w:val="it-IT"/>
        </w:rPr>
        <w:t>)</w:t>
      </w:r>
      <w:r w:rsidRPr="001471FD">
        <w:rPr>
          <w:lang w:val="it-IT"/>
        </w:rPr>
        <w:t xml:space="preserve">. </w:t>
      </w:r>
      <w:r>
        <w:t xml:space="preserve">How </w:t>
      </w:r>
      <w:r w:rsidR="001471FD">
        <w:t>e</w:t>
      </w:r>
      <w:r>
        <w:t xml:space="preserve">ffective </w:t>
      </w:r>
      <w:r w:rsidR="001471FD">
        <w:t>a</w:t>
      </w:r>
      <w:r>
        <w:t xml:space="preserve">re </w:t>
      </w:r>
      <w:r w:rsidR="001471FD">
        <w:t>f</w:t>
      </w:r>
      <w:r>
        <w:t>ilms in</w:t>
      </w:r>
      <w:r w:rsidR="001471FD">
        <w:t xml:space="preserve"> i</w:t>
      </w:r>
      <w:r>
        <w:t xml:space="preserve">nducing </w:t>
      </w:r>
      <w:r w:rsidR="001471FD">
        <w:t>p</w:t>
      </w:r>
      <w:r>
        <w:t xml:space="preserve">ositive and </w:t>
      </w:r>
      <w:r w:rsidR="001471FD">
        <w:t>n</w:t>
      </w:r>
      <w:r>
        <w:t xml:space="preserve">egative </w:t>
      </w:r>
      <w:r w:rsidR="001471FD">
        <w:t>e</w:t>
      </w:r>
      <w:r>
        <w:t xml:space="preserve">motional </w:t>
      </w:r>
      <w:r w:rsidR="001471FD">
        <w:t>s</w:t>
      </w:r>
      <w:r>
        <w:t xml:space="preserve">tates? A </w:t>
      </w:r>
      <w:r w:rsidR="001471FD">
        <w:t>m</w:t>
      </w:r>
      <w:r>
        <w:t>eta-</w:t>
      </w:r>
      <w:r w:rsidR="001471FD">
        <w:t>a</w:t>
      </w:r>
      <w:r>
        <w:t xml:space="preserve">nalysis. </w:t>
      </w:r>
      <w:proofErr w:type="spellStart"/>
      <w:r w:rsidRPr="001471FD">
        <w:rPr>
          <w:i/>
          <w:iCs/>
        </w:rPr>
        <w:t>P</w:t>
      </w:r>
      <w:r w:rsidR="001471FD" w:rsidRPr="001471FD">
        <w:rPr>
          <w:i/>
          <w:iCs/>
        </w:rPr>
        <w:t>Lo</w:t>
      </w:r>
      <w:r w:rsidRPr="001471FD">
        <w:rPr>
          <w:i/>
          <w:iCs/>
        </w:rPr>
        <w:t>S</w:t>
      </w:r>
      <w:proofErr w:type="spellEnd"/>
      <w:r w:rsidRPr="001471FD">
        <w:rPr>
          <w:i/>
          <w:iCs/>
        </w:rPr>
        <w:t xml:space="preserve"> O</w:t>
      </w:r>
      <w:r w:rsidR="001471FD" w:rsidRPr="001471FD">
        <w:rPr>
          <w:i/>
          <w:iCs/>
        </w:rPr>
        <w:t>ne,</w:t>
      </w:r>
      <w:r w:rsidRPr="001471FD">
        <w:rPr>
          <w:i/>
          <w:iCs/>
        </w:rPr>
        <w:t xml:space="preserve"> 14</w:t>
      </w:r>
      <w:r>
        <w:t>(11)</w:t>
      </w:r>
      <w:r w:rsidR="001471FD">
        <w:t>,</w:t>
      </w:r>
      <w:r>
        <w:t xml:space="preserve"> e0225547.</w:t>
      </w:r>
      <w:r w:rsidR="001471FD">
        <w:t xml:space="preserve"> </w:t>
      </w:r>
      <w:hyperlink r:id="rId6" w:history="1">
        <w:r w:rsidR="001471FD" w:rsidRPr="00973524">
          <w:rPr>
            <w:rStyle w:val="Hyperlink"/>
          </w:rPr>
          <w:t>https://doi.org/10.1371/journal.pone.0225040</w:t>
        </w:r>
      </w:hyperlink>
    </w:p>
    <w:p w14:paraId="12626896" w14:textId="79C3A7AB" w:rsidR="00A1456C" w:rsidRPr="00A1456C" w:rsidRDefault="00645E1A" w:rsidP="00A1456C">
      <w:pPr>
        <w:pStyle w:val="Tabletitle"/>
        <w:spacing w:line="276" w:lineRule="auto"/>
        <w:jc w:val="both"/>
      </w:pPr>
      <w:r>
        <w:t xml:space="preserve">Georges, L. C., Wiener, </w:t>
      </w:r>
      <w:r w:rsidR="001471FD">
        <w:t>R. L., &amp;</w:t>
      </w:r>
      <w:r>
        <w:t xml:space="preserve"> Keller</w:t>
      </w:r>
      <w:r w:rsidR="001471FD">
        <w:t>, S. R</w:t>
      </w:r>
      <w:r>
        <w:t xml:space="preserve">. </w:t>
      </w:r>
      <w:r w:rsidR="001471FD">
        <w:t>(</w:t>
      </w:r>
      <w:r>
        <w:t>2013</w:t>
      </w:r>
      <w:r w:rsidR="001471FD">
        <w:t>)</w:t>
      </w:r>
      <w:r>
        <w:t xml:space="preserve">. The </w:t>
      </w:r>
      <w:r w:rsidR="001471FD">
        <w:t>a</w:t>
      </w:r>
      <w:r>
        <w:t xml:space="preserve">ngry </w:t>
      </w:r>
      <w:r w:rsidR="001471FD">
        <w:t>j</w:t>
      </w:r>
      <w:r>
        <w:t xml:space="preserve">uror: Sentencing </w:t>
      </w:r>
      <w:r w:rsidR="001471FD">
        <w:t>d</w:t>
      </w:r>
      <w:r>
        <w:t xml:space="preserve">ecisions in </w:t>
      </w:r>
      <w:r w:rsidR="001471FD">
        <w:t>f</w:t>
      </w:r>
      <w:r>
        <w:t>irst-</w:t>
      </w:r>
      <w:r w:rsidR="001471FD">
        <w:t>d</w:t>
      </w:r>
      <w:r>
        <w:t xml:space="preserve">egree </w:t>
      </w:r>
      <w:r w:rsidR="001471FD">
        <w:t>m</w:t>
      </w:r>
      <w:r>
        <w:t xml:space="preserve">urder. </w:t>
      </w:r>
      <w:r w:rsidRPr="00A1456C">
        <w:rPr>
          <w:i/>
          <w:iCs/>
        </w:rPr>
        <w:t>Applied Cognitive Psychology</w:t>
      </w:r>
      <w:r w:rsidR="001471FD" w:rsidRPr="00A1456C">
        <w:rPr>
          <w:i/>
          <w:iCs/>
        </w:rPr>
        <w:t>,</w:t>
      </w:r>
      <w:r w:rsidRPr="00A1456C">
        <w:rPr>
          <w:i/>
          <w:iCs/>
        </w:rPr>
        <w:t xml:space="preserve"> 27</w:t>
      </w:r>
      <w:r>
        <w:t>(2)</w:t>
      </w:r>
      <w:r w:rsidR="001471FD">
        <w:t>,</w:t>
      </w:r>
      <w:r>
        <w:t xml:space="preserve"> 156-166.</w:t>
      </w:r>
      <w:r w:rsidR="00A1456C">
        <w:t xml:space="preserve"> </w:t>
      </w:r>
      <w:hyperlink r:id="rId7" w:history="1">
        <w:r w:rsidR="00A1456C" w:rsidRPr="00973524">
          <w:rPr>
            <w:rStyle w:val="Hyperlink"/>
          </w:rPr>
          <w:t>https://doi.org/10.1002/acp.2880</w:t>
        </w:r>
      </w:hyperlink>
    </w:p>
    <w:p w14:paraId="23F23B6A" w14:textId="456D8EDB" w:rsidR="001B72FC" w:rsidRDefault="00645E1A" w:rsidP="00645E1A">
      <w:pPr>
        <w:pStyle w:val="Tabletitle"/>
        <w:spacing w:line="276" w:lineRule="auto"/>
        <w:jc w:val="both"/>
      </w:pPr>
      <w:r>
        <w:t xml:space="preserve">Giles, H., </w:t>
      </w:r>
      <w:r w:rsidR="00A1456C">
        <w:t>&amp;</w:t>
      </w:r>
      <w:r>
        <w:t xml:space="preserve"> Oxford</w:t>
      </w:r>
      <w:r w:rsidR="00A1456C">
        <w:t>, G. S.</w:t>
      </w:r>
      <w:r>
        <w:t xml:space="preserve"> </w:t>
      </w:r>
      <w:r w:rsidR="00A1456C">
        <w:t>(</w:t>
      </w:r>
      <w:r>
        <w:t>1970</w:t>
      </w:r>
      <w:r w:rsidR="00A1456C">
        <w:t>)</w:t>
      </w:r>
      <w:r>
        <w:t xml:space="preserve">. Towards a </w:t>
      </w:r>
      <w:r w:rsidR="00A1456C">
        <w:t>m</w:t>
      </w:r>
      <w:r>
        <w:t xml:space="preserve">ultidimensional </w:t>
      </w:r>
      <w:r w:rsidR="00A1456C">
        <w:t>t</w:t>
      </w:r>
      <w:r>
        <w:t xml:space="preserve">heory of </w:t>
      </w:r>
      <w:r w:rsidR="00A1456C">
        <w:t>l</w:t>
      </w:r>
      <w:r>
        <w:t xml:space="preserve">aughter </w:t>
      </w:r>
      <w:r w:rsidR="00A1456C">
        <w:t>c</w:t>
      </w:r>
      <w:r>
        <w:t xml:space="preserve">ausation and </w:t>
      </w:r>
      <w:r w:rsidR="00A1456C">
        <w:t>i</w:t>
      </w:r>
      <w:r>
        <w:t xml:space="preserve">ts </w:t>
      </w:r>
      <w:r w:rsidR="00A1456C">
        <w:t>s</w:t>
      </w:r>
      <w:r>
        <w:t xml:space="preserve">ocial </w:t>
      </w:r>
      <w:r w:rsidR="00A1456C">
        <w:t>i</w:t>
      </w:r>
      <w:r>
        <w:t xml:space="preserve">mplications. </w:t>
      </w:r>
      <w:r w:rsidRPr="00A1456C">
        <w:rPr>
          <w:i/>
          <w:iCs/>
        </w:rPr>
        <w:t>Bulletin of the British Psychological Society</w:t>
      </w:r>
      <w:r w:rsidR="00A1456C" w:rsidRPr="00A1456C">
        <w:rPr>
          <w:i/>
          <w:iCs/>
        </w:rPr>
        <w:t>,</w:t>
      </w:r>
      <w:r w:rsidRPr="00A1456C">
        <w:rPr>
          <w:i/>
          <w:iCs/>
        </w:rPr>
        <w:t xml:space="preserve"> 23</w:t>
      </w:r>
      <w:r>
        <w:t>(79)</w:t>
      </w:r>
      <w:r w:rsidR="00A1456C">
        <w:t>,</w:t>
      </w:r>
      <w:r>
        <w:t xml:space="preserve"> 97-105.</w:t>
      </w:r>
      <w:r w:rsidR="001B72FC">
        <w:t xml:space="preserve"> </w:t>
      </w:r>
    </w:p>
    <w:p w14:paraId="40E04C47" w14:textId="0C543290" w:rsidR="00A1456C" w:rsidRPr="00A1456C" w:rsidRDefault="001B72FC" w:rsidP="00A1456C">
      <w:pPr>
        <w:pStyle w:val="Tabletitle"/>
        <w:spacing w:line="276" w:lineRule="auto"/>
        <w:jc w:val="both"/>
      </w:pPr>
      <w:r w:rsidRPr="001B72FC">
        <w:t>Heber, A</w:t>
      </w:r>
      <w:r>
        <w:t>.</w:t>
      </w:r>
      <w:r w:rsidRPr="001B72FC">
        <w:t xml:space="preserve">, </w:t>
      </w:r>
      <w:r w:rsidR="00A1456C">
        <w:t>&amp;</w:t>
      </w:r>
      <w:r w:rsidRPr="001B72FC">
        <w:t xml:space="preserve"> Fredriksson</w:t>
      </w:r>
      <w:r w:rsidR="00A1456C">
        <w:t>, T</w:t>
      </w:r>
      <w:r w:rsidRPr="001B72FC">
        <w:t xml:space="preserve">. </w:t>
      </w:r>
      <w:r w:rsidR="00A1456C">
        <w:t>(</w:t>
      </w:r>
      <w:r w:rsidRPr="001B72FC">
        <w:t>2025</w:t>
      </w:r>
      <w:r w:rsidR="00A1456C">
        <w:t>)</w:t>
      </w:r>
      <w:r w:rsidRPr="001B72FC">
        <w:t xml:space="preserve">. First </w:t>
      </w:r>
      <w:r w:rsidR="00A1456C">
        <w:t>i</w:t>
      </w:r>
      <w:r w:rsidRPr="001B72FC">
        <w:t xml:space="preserve">mpressions </w:t>
      </w:r>
      <w:r w:rsidR="00A1456C">
        <w:t>l</w:t>
      </w:r>
      <w:r w:rsidRPr="001B72FC">
        <w:t>ast? Lay-</w:t>
      </w:r>
      <w:r w:rsidR="00A1456C">
        <w:t>j</w:t>
      </w:r>
      <w:r w:rsidRPr="001B72FC">
        <w:t xml:space="preserve">udges’ </w:t>
      </w:r>
      <w:r w:rsidR="00A1456C">
        <w:t>a</w:t>
      </w:r>
      <w:r w:rsidRPr="001B72FC">
        <w:t xml:space="preserve">ssessments of </w:t>
      </w:r>
      <w:r w:rsidR="00A1456C">
        <w:t>c</w:t>
      </w:r>
      <w:r w:rsidRPr="001B72FC">
        <w:t xml:space="preserve">redible </w:t>
      </w:r>
      <w:r w:rsidR="00A1456C">
        <w:t>v</w:t>
      </w:r>
      <w:r w:rsidRPr="001B72FC">
        <w:t xml:space="preserve">ictimhood. </w:t>
      </w:r>
      <w:r w:rsidRPr="00A1456C">
        <w:rPr>
          <w:i/>
          <w:iCs/>
        </w:rPr>
        <w:t>The British Journal of Criminology 65</w:t>
      </w:r>
      <w:r w:rsidRPr="001B72FC">
        <w:t>(4)</w:t>
      </w:r>
      <w:r w:rsidR="00A1456C">
        <w:t>,</w:t>
      </w:r>
      <w:r w:rsidRPr="001B72FC">
        <w:t xml:space="preserve"> 709-25.</w:t>
      </w:r>
      <w:r w:rsidR="00A1456C">
        <w:t xml:space="preserve"> </w:t>
      </w:r>
      <w:hyperlink r:id="rId8" w:history="1">
        <w:r w:rsidR="00A1456C" w:rsidRPr="00973524">
          <w:rPr>
            <w:rStyle w:val="Hyperlink"/>
          </w:rPr>
          <w:t>https://doi.org/10.1093/bjc/azae086</w:t>
        </w:r>
      </w:hyperlink>
    </w:p>
    <w:p w14:paraId="7A386DA8" w14:textId="656ED377" w:rsidR="00A1456C" w:rsidRPr="00A1456C" w:rsidRDefault="00645E1A" w:rsidP="00A1456C">
      <w:pPr>
        <w:pStyle w:val="Tabletitle"/>
        <w:spacing w:line="276" w:lineRule="auto"/>
        <w:jc w:val="both"/>
      </w:pPr>
      <w:r>
        <w:t xml:space="preserve">Iliadis, M., Harris, </w:t>
      </w:r>
      <w:r w:rsidR="00A1456C">
        <w:t xml:space="preserve">B., </w:t>
      </w:r>
      <w:proofErr w:type="spellStart"/>
      <w:r>
        <w:t>Vakhitova</w:t>
      </w:r>
      <w:proofErr w:type="spellEnd"/>
      <w:r>
        <w:t xml:space="preserve">, </w:t>
      </w:r>
      <w:r w:rsidR="00A1456C">
        <w:t xml:space="preserve">Z., </w:t>
      </w:r>
      <w:r>
        <w:t xml:space="preserve">Flynn, </w:t>
      </w:r>
      <w:r w:rsidR="00A1456C">
        <w:t>A., &amp;</w:t>
      </w:r>
      <w:r>
        <w:t xml:space="preserve"> Tyson</w:t>
      </w:r>
      <w:r w:rsidR="00A1456C">
        <w:t>, D</w:t>
      </w:r>
      <w:r>
        <w:t xml:space="preserve">. </w:t>
      </w:r>
      <w:r w:rsidR="00A1456C">
        <w:t>(</w:t>
      </w:r>
      <w:r>
        <w:t>2024</w:t>
      </w:r>
      <w:r w:rsidR="00A1456C">
        <w:t>)</w:t>
      </w:r>
      <w:r>
        <w:t xml:space="preserve">. Police </w:t>
      </w:r>
      <w:r w:rsidR="00A1456C">
        <w:t>b</w:t>
      </w:r>
      <w:r>
        <w:t>ody-</w:t>
      </w:r>
      <w:r w:rsidR="00A1456C">
        <w:t>w</w:t>
      </w:r>
      <w:r>
        <w:t xml:space="preserve">orn </w:t>
      </w:r>
      <w:r w:rsidR="00A1456C">
        <w:t>c</w:t>
      </w:r>
      <w:r>
        <w:t xml:space="preserve">ameras as a </w:t>
      </w:r>
      <w:r w:rsidR="00A1456C">
        <w:t>r</w:t>
      </w:r>
      <w:r>
        <w:t xml:space="preserve">esponse to </w:t>
      </w:r>
      <w:r w:rsidR="00A1456C">
        <w:t>d</w:t>
      </w:r>
      <w:r>
        <w:t xml:space="preserve">omestic and </w:t>
      </w:r>
      <w:r w:rsidR="00A1456C">
        <w:t>f</w:t>
      </w:r>
      <w:r>
        <w:t xml:space="preserve">amily </w:t>
      </w:r>
      <w:r w:rsidR="00A1456C">
        <w:t>v</w:t>
      </w:r>
      <w:r>
        <w:t xml:space="preserve">iolence: Practitioner </w:t>
      </w:r>
      <w:r w:rsidR="00A1456C">
        <w:t>i</w:t>
      </w:r>
      <w:r>
        <w:t xml:space="preserve">nsights </w:t>
      </w:r>
      <w:r w:rsidR="00A1456C">
        <w:t>i</w:t>
      </w:r>
      <w:r>
        <w:t xml:space="preserve">nto the </w:t>
      </w:r>
      <w:r w:rsidR="00A1456C">
        <w:t>c</w:t>
      </w:r>
      <w:r>
        <w:t xml:space="preserve">onsequences for </w:t>
      </w:r>
      <w:r w:rsidR="00A1456C">
        <w:t>v</w:t>
      </w:r>
      <w:r>
        <w:t>ictim/</w:t>
      </w:r>
      <w:r w:rsidR="00A1456C">
        <w:t>s</w:t>
      </w:r>
      <w:r>
        <w:t xml:space="preserve">urvivors. </w:t>
      </w:r>
      <w:r w:rsidRPr="00A1456C">
        <w:rPr>
          <w:i/>
          <w:iCs/>
        </w:rPr>
        <w:t>Violence Against Women 30</w:t>
      </w:r>
      <w:r>
        <w:t>(15)</w:t>
      </w:r>
      <w:r w:rsidR="00A1456C">
        <w:t>,</w:t>
      </w:r>
      <w:r>
        <w:t xml:space="preserve"> 3536-3557.</w:t>
      </w:r>
      <w:r w:rsidR="00A1456C">
        <w:t xml:space="preserve"> </w:t>
      </w:r>
      <w:hyperlink r:id="rId9" w:history="1">
        <w:r w:rsidR="00A1456C" w:rsidRPr="00973524">
          <w:rPr>
            <w:rStyle w:val="Hyperlink"/>
          </w:rPr>
          <w:t>https://doi.org/10.1177/10778012231185541</w:t>
        </w:r>
      </w:hyperlink>
    </w:p>
    <w:p w14:paraId="29EB9DDC" w14:textId="2E55B8ED" w:rsidR="00A1456C" w:rsidRPr="00A1456C" w:rsidRDefault="00645E1A" w:rsidP="00A1456C">
      <w:pPr>
        <w:pStyle w:val="Tabletitle"/>
        <w:spacing w:line="276" w:lineRule="auto"/>
        <w:jc w:val="both"/>
      </w:pPr>
      <w:r>
        <w:t xml:space="preserve">Jones, K. A., Crozier, </w:t>
      </w:r>
      <w:r w:rsidR="00A1456C">
        <w:t xml:space="preserve">W. E., &amp; </w:t>
      </w:r>
      <w:r>
        <w:t>Strange</w:t>
      </w:r>
      <w:r w:rsidR="00A1456C">
        <w:t>,</w:t>
      </w:r>
      <w:r w:rsidR="00A1456C" w:rsidRPr="00A1456C">
        <w:t xml:space="preserve"> </w:t>
      </w:r>
      <w:r w:rsidR="00A1456C">
        <w:t xml:space="preserve">D. </w:t>
      </w:r>
      <w:r>
        <w:t xml:space="preserve"> </w:t>
      </w:r>
      <w:r w:rsidR="00A1456C">
        <w:t>(</w:t>
      </w:r>
      <w:r>
        <w:t>2017</w:t>
      </w:r>
      <w:r w:rsidR="00A1456C">
        <w:t>)</w:t>
      </w:r>
      <w:r>
        <w:t xml:space="preserve">. Believing </w:t>
      </w:r>
      <w:r w:rsidR="00A1456C">
        <w:t>i</w:t>
      </w:r>
      <w:r>
        <w:t xml:space="preserve">s </w:t>
      </w:r>
      <w:r w:rsidR="00A1456C">
        <w:t>s</w:t>
      </w:r>
      <w:r>
        <w:t xml:space="preserve">eeing: Biased </w:t>
      </w:r>
      <w:r w:rsidR="00A1456C">
        <w:t>v</w:t>
      </w:r>
      <w:r>
        <w:t xml:space="preserve">iewing of </w:t>
      </w:r>
      <w:r w:rsidR="00A1456C">
        <w:t>b</w:t>
      </w:r>
      <w:r>
        <w:t>ody-</w:t>
      </w:r>
      <w:r w:rsidR="00A1456C">
        <w:t>w</w:t>
      </w:r>
      <w:r>
        <w:t xml:space="preserve">orn </w:t>
      </w:r>
      <w:r w:rsidR="00A1456C">
        <w:t>c</w:t>
      </w:r>
      <w:r>
        <w:t xml:space="preserve">amera </w:t>
      </w:r>
      <w:r w:rsidR="00A1456C">
        <w:t>f</w:t>
      </w:r>
      <w:r>
        <w:t xml:space="preserve">ootage. </w:t>
      </w:r>
      <w:r w:rsidRPr="00A1456C">
        <w:rPr>
          <w:i/>
          <w:iCs/>
        </w:rPr>
        <w:t>Journal of Applied Research in Memory and Cognition 6</w:t>
      </w:r>
      <w:r>
        <w:t>(4)</w:t>
      </w:r>
      <w:r w:rsidR="00A1456C">
        <w:t>,</w:t>
      </w:r>
      <w:r>
        <w:t xml:space="preserve"> 460-474.</w:t>
      </w:r>
      <w:r w:rsidR="00A1456C">
        <w:t xml:space="preserve"> </w:t>
      </w:r>
      <w:hyperlink r:id="rId10" w:history="1">
        <w:r w:rsidR="00A1456C" w:rsidRPr="00973524">
          <w:rPr>
            <w:rStyle w:val="Hyperlink"/>
          </w:rPr>
          <w:t>https://doi.org/10.1016/j.jarmac.2017.07.007</w:t>
        </w:r>
      </w:hyperlink>
    </w:p>
    <w:p w14:paraId="7370D5C7" w14:textId="4AC62A0E" w:rsidR="00633438" w:rsidRPr="00633438" w:rsidRDefault="00645E1A" w:rsidP="00633438">
      <w:pPr>
        <w:pStyle w:val="Tabletitle"/>
        <w:spacing w:line="276" w:lineRule="auto"/>
        <w:jc w:val="both"/>
      </w:pPr>
      <w:r>
        <w:t xml:space="preserve">Judicial Commission of New South Wales. </w:t>
      </w:r>
      <w:r w:rsidR="00633438">
        <w:t>(</w:t>
      </w:r>
      <w:r>
        <w:t>2024</w:t>
      </w:r>
      <w:r w:rsidR="00633438">
        <w:t>)</w:t>
      </w:r>
      <w:r>
        <w:t xml:space="preserve">. Criminal Trial Courts Bench Book [7-020]. </w:t>
      </w:r>
      <w:r>
        <w:fldChar w:fldCharType="begin"/>
      </w:r>
      <w:r>
        <w:instrText>HYPERLINK "https://www.judcom.nsw.gov.au/publications/benchbks/criminal/summing_up_format.html"</w:instrText>
      </w:r>
      <w:r>
        <w:fldChar w:fldCharType="separate"/>
      </w:r>
      <w:r w:rsidRPr="007334C9">
        <w:rPr>
          <w:rStyle w:val="Hyperlink"/>
        </w:rPr>
        <w:t>https://www.judcom.nsw.gov.au/publications/benchbks/criminal/summing_up_format.html</w:t>
      </w:r>
      <w:r>
        <w:rPr>
          <w:rStyle w:val="Hyperlink"/>
        </w:rPr>
        <w:fldChar w:fldCharType="end"/>
      </w:r>
    </w:p>
    <w:p w14:paraId="5BB0E07A" w14:textId="77777777" w:rsidR="00645E1A" w:rsidRDefault="00645E1A" w:rsidP="00645E1A">
      <w:pPr>
        <w:pStyle w:val="Tabletitle"/>
        <w:spacing w:line="276" w:lineRule="auto"/>
        <w:jc w:val="both"/>
      </w:pPr>
      <w:r w:rsidRPr="00B27B63">
        <w:t>Jury Directions Act 2015 (Vic) s 60(b)(</w:t>
      </w:r>
      <w:proofErr w:type="spellStart"/>
      <w:r w:rsidRPr="00B27B63">
        <w:t>i</w:t>
      </w:r>
      <w:proofErr w:type="spellEnd"/>
      <w:r w:rsidRPr="00B27B63">
        <w:t>).</w:t>
      </w:r>
    </w:p>
    <w:p w14:paraId="2BA0963E" w14:textId="77777777" w:rsidR="00645E1A" w:rsidRPr="003F401E" w:rsidRDefault="00645E1A" w:rsidP="00645E1A">
      <w:pPr>
        <w:pStyle w:val="Tabletitle"/>
        <w:spacing w:line="276" w:lineRule="auto"/>
        <w:jc w:val="both"/>
      </w:pPr>
      <w:r w:rsidRPr="003F401E">
        <w:t>Justice Legislation Amendment (Body-Worn Video and Domestic Violence Evidence) Act 2017 (NT) pt 3A.</w:t>
      </w:r>
    </w:p>
    <w:p w14:paraId="4AB08DE8" w14:textId="49408BDF" w:rsidR="00645E1A" w:rsidRDefault="00645E1A" w:rsidP="00645E1A">
      <w:pPr>
        <w:pStyle w:val="Tabletitle"/>
        <w:spacing w:line="276" w:lineRule="auto"/>
        <w:jc w:val="both"/>
      </w:pPr>
      <w:proofErr w:type="spellStart"/>
      <w:r>
        <w:t>Katirai</w:t>
      </w:r>
      <w:proofErr w:type="spellEnd"/>
      <w:r>
        <w:t xml:space="preserve">, N. </w:t>
      </w:r>
      <w:r w:rsidR="00633438">
        <w:t>(</w:t>
      </w:r>
      <w:r>
        <w:t>2020</w:t>
      </w:r>
      <w:r w:rsidR="00633438">
        <w:t>)</w:t>
      </w:r>
      <w:r>
        <w:t xml:space="preserve">. Retraumatized in </w:t>
      </w:r>
      <w:r w:rsidR="00633438">
        <w:t>c</w:t>
      </w:r>
      <w:r>
        <w:t xml:space="preserve">ourt. </w:t>
      </w:r>
      <w:r w:rsidRPr="00633438">
        <w:rPr>
          <w:i/>
          <w:iCs/>
        </w:rPr>
        <w:t>Arizona Law Review 62</w:t>
      </w:r>
      <w:r>
        <w:t>(1)</w:t>
      </w:r>
      <w:r w:rsidR="00633438">
        <w:t>,</w:t>
      </w:r>
      <w:r>
        <w:t xml:space="preserve"> 81-124.</w:t>
      </w:r>
    </w:p>
    <w:p w14:paraId="2F575B2D" w14:textId="6DFEAC7E" w:rsidR="00633438" w:rsidRPr="00633438" w:rsidRDefault="00645E1A" w:rsidP="00633438">
      <w:pPr>
        <w:pStyle w:val="Tabletitle"/>
        <w:spacing w:line="276" w:lineRule="auto"/>
        <w:jc w:val="both"/>
      </w:pPr>
      <w:r>
        <w:t>Kaufmann, G., Drevland,</w:t>
      </w:r>
      <w:r w:rsidR="00633438" w:rsidRPr="00633438">
        <w:t xml:space="preserve"> </w:t>
      </w:r>
      <w:r w:rsidR="00633438">
        <w:t xml:space="preserve">G. C., </w:t>
      </w:r>
      <w:r>
        <w:t xml:space="preserve">Wessel, </w:t>
      </w:r>
      <w:r w:rsidR="00633438">
        <w:t xml:space="preserve">E., </w:t>
      </w:r>
      <w:proofErr w:type="spellStart"/>
      <w:r>
        <w:t>Overskeid</w:t>
      </w:r>
      <w:proofErr w:type="spellEnd"/>
      <w:r>
        <w:t xml:space="preserve">, </w:t>
      </w:r>
      <w:r w:rsidR="00633438">
        <w:t>G., &amp;</w:t>
      </w:r>
      <w:r>
        <w:t xml:space="preserve"> Magnussen</w:t>
      </w:r>
      <w:r w:rsidR="00633438">
        <w:t>, S</w:t>
      </w:r>
      <w:r>
        <w:t xml:space="preserve">. </w:t>
      </w:r>
      <w:r w:rsidR="00633438">
        <w:t>(</w:t>
      </w:r>
      <w:r>
        <w:t>2003</w:t>
      </w:r>
      <w:r w:rsidR="00633438">
        <w:t>)</w:t>
      </w:r>
      <w:r>
        <w:t xml:space="preserve">. The </w:t>
      </w:r>
      <w:r w:rsidR="00633438">
        <w:t>i</w:t>
      </w:r>
      <w:r>
        <w:t xml:space="preserve">mportance of </w:t>
      </w:r>
      <w:r w:rsidR="00633438">
        <w:t>b</w:t>
      </w:r>
      <w:r>
        <w:t xml:space="preserve">eing </w:t>
      </w:r>
      <w:r w:rsidR="00633438">
        <w:t>e</w:t>
      </w:r>
      <w:r>
        <w:t xml:space="preserve">arnest: Displayed </w:t>
      </w:r>
      <w:r w:rsidR="00633438">
        <w:t>e</w:t>
      </w:r>
      <w:r>
        <w:t xml:space="preserve">motions and </w:t>
      </w:r>
      <w:r w:rsidR="00633438">
        <w:t>w</w:t>
      </w:r>
      <w:r>
        <w:t xml:space="preserve">itness </w:t>
      </w:r>
      <w:r w:rsidR="00633438">
        <w:t>c</w:t>
      </w:r>
      <w:r>
        <w:t xml:space="preserve">redibility. </w:t>
      </w:r>
      <w:r w:rsidRPr="00633438">
        <w:rPr>
          <w:i/>
          <w:iCs/>
        </w:rPr>
        <w:t>Applied Cognitive Psychology</w:t>
      </w:r>
      <w:r w:rsidR="00633438" w:rsidRPr="00633438">
        <w:rPr>
          <w:i/>
          <w:iCs/>
        </w:rPr>
        <w:t>,</w:t>
      </w:r>
      <w:r w:rsidRPr="00633438">
        <w:rPr>
          <w:i/>
          <w:iCs/>
        </w:rPr>
        <w:t xml:space="preserve"> 17</w:t>
      </w:r>
      <w:r>
        <w:t>(1)</w:t>
      </w:r>
      <w:r w:rsidR="00633438">
        <w:t>,</w:t>
      </w:r>
      <w:r>
        <w:t xml:space="preserve"> 21-34.</w:t>
      </w:r>
      <w:r w:rsidR="00633438">
        <w:t xml:space="preserve"> </w:t>
      </w:r>
      <w:hyperlink r:id="rId11" w:history="1">
        <w:r w:rsidR="00633438" w:rsidRPr="00973524">
          <w:rPr>
            <w:rStyle w:val="Hyperlink"/>
          </w:rPr>
          <w:t>https://doi.org/10.1002/acp.842</w:t>
        </w:r>
      </w:hyperlink>
    </w:p>
    <w:p w14:paraId="7C709F54" w14:textId="13506ABD" w:rsidR="00633438" w:rsidRPr="00633438" w:rsidRDefault="00645E1A" w:rsidP="00633438">
      <w:pPr>
        <w:pStyle w:val="Tabletitle"/>
        <w:spacing w:line="276" w:lineRule="auto"/>
        <w:jc w:val="both"/>
      </w:pPr>
      <w:r>
        <w:t xml:space="preserve">Ladegaard, H. </w:t>
      </w:r>
      <w:r w:rsidR="00633438">
        <w:t>(</w:t>
      </w:r>
      <w:r>
        <w:t>2013</w:t>
      </w:r>
      <w:r w:rsidR="00633438">
        <w:t>)</w:t>
      </w:r>
      <w:r>
        <w:t xml:space="preserve">. Laughing at </w:t>
      </w:r>
      <w:r w:rsidR="00633438">
        <w:t>a</w:t>
      </w:r>
      <w:r>
        <w:t xml:space="preserve">dversity: Laughter as </w:t>
      </w:r>
      <w:r w:rsidR="00633438">
        <w:t>c</w:t>
      </w:r>
      <w:r>
        <w:t xml:space="preserve">ommunication in </w:t>
      </w:r>
      <w:r w:rsidR="00633438">
        <w:t>d</w:t>
      </w:r>
      <w:r>
        <w:t xml:space="preserve">omestic </w:t>
      </w:r>
      <w:r w:rsidR="00633438">
        <w:t>h</w:t>
      </w:r>
      <w:r>
        <w:t xml:space="preserve">elper </w:t>
      </w:r>
      <w:r w:rsidR="00633438">
        <w:t>n</w:t>
      </w:r>
      <w:r>
        <w:t xml:space="preserve">arratives. </w:t>
      </w:r>
      <w:r w:rsidRPr="00633438">
        <w:rPr>
          <w:i/>
          <w:iCs/>
        </w:rPr>
        <w:t>Journal of Language and Social Psychology</w:t>
      </w:r>
      <w:r w:rsidR="00633438" w:rsidRPr="00633438">
        <w:rPr>
          <w:i/>
          <w:iCs/>
        </w:rPr>
        <w:t>,</w:t>
      </w:r>
      <w:r w:rsidRPr="00633438">
        <w:rPr>
          <w:i/>
          <w:iCs/>
        </w:rPr>
        <w:t xml:space="preserve"> 32</w:t>
      </w:r>
      <w:r>
        <w:t>(4)</w:t>
      </w:r>
      <w:r w:rsidR="00633438">
        <w:t>,</w:t>
      </w:r>
      <w:r>
        <w:t xml:space="preserve"> 390-411. </w:t>
      </w:r>
      <w:hyperlink r:id="rId12" w:history="1">
        <w:r w:rsidR="00633438" w:rsidRPr="00973524">
          <w:rPr>
            <w:rStyle w:val="Hyperlink"/>
          </w:rPr>
          <w:t>https://doi.org/10.1177/0261927X13489301</w:t>
        </w:r>
      </w:hyperlink>
    </w:p>
    <w:p w14:paraId="5422F4DD" w14:textId="4D1267EF" w:rsidR="00633438" w:rsidRPr="00633438" w:rsidRDefault="001B72FC" w:rsidP="00633438">
      <w:pPr>
        <w:pStyle w:val="Tabletitle"/>
        <w:spacing w:line="276" w:lineRule="auto"/>
        <w:jc w:val="both"/>
      </w:pPr>
      <w:proofErr w:type="spellStart"/>
      <w:r w:rsidRPr="001B72FC">
        <w:t>Landström</w:t>
      </w:r>
      <w:proofErr w:type="spellEnd"/>
      <w:r w:rsidRPr="001B72FC">
        <w:t>, S</w:t>
      </w:r>
      <w:r>
        <w:t>.</w:t>
      </w:r>
      <w:r w:rsidRPr="001B72FC">
        <w:t xml:space="preserve">, Ask, </w:t>
      </w:r>
      <w:r w:rsidR="00633438">
        <w:t>K., &amp;</w:t>
      </w:r>
      <w:r w:rsidRPr="001B72FC">
        <w:t xml:space="preserve"> Sommar</w:t>
      </w:r>
      <w:r w:rsidR="00633438">
        <w:t>, C</w:t>
      </w:r>
      <w:r w:rsidRPr="001B72FC">
        <w:t xml:space="preserve">. </w:t>
      </w:r>
      <w:r w:rsidR="00633438">
        <w:t>(</w:t>
      </w:r>
      <w:r w:rsidRPr="001B72FC">
        <w:t>2019</w:t>
      </w:r>
      <w:r w:rsidR="00633438">
        <w:t>)</w:t>
      </w:r>
      <w:r w:rsidRPr="001B72FC">
        <w:t xml:space="preserve">. Credibility </w:t>
      </w:r>
      <w:r w:rsidR="00633438">
        <w:t>j</w:t>
      </w:r>
      <w:r w:rsidRPr="001B72FC">
        <w:t xml:space="preserve">udgments in </w:t>
      </w:r>
      <w:r w:rsidR="00633438">
        <w:t>c</w:t>
      </w:r>
      <w:r w:rsidRPr="001B72FC">
        <w:t xml:space="preserve">ontext: Effects of </w:t>
      </w:r>
      <w:r w:rsidR="00633438">
        <w:t>e</w:t>
      </w:r>
      <w:r w:rsidRPr="001B72FC">
        <w:t xml:space="preserve">motional </w:t>
      </w:r>
      <w:r w:rsidR="00633438">
        <w:t>e</w:t>
      </w:r>
      <w:r w:rsidRPr="001B72FC">
        <w:t xml:space="preserve">xpression, </w:t>
      </w:r>
      <w:r w:rsidR="00633438">
        <w:t>p</w:t>
      </w:r>
      <w:r w:rsidRPr="001B72FC">
        <w:t xml:space="preserve">resentation </w:t>
      </w:r>
      <w:r w:rsidR="00633438">
        <w:t>m</w:t>
      </w:r>
      <w:r w:rsidRPr="001B72FC">
        <w:t xml:space="preserve">ode, and </w:t>
      </w:r>
      <w:r w:rsidR="00633438">
        <w:t>s</w:t>
      </w:r>
      <w:r w:rsidRPr="001B72FC">
        <w:t xml:space="preserve">tatement </w:t>
      </w:r>
      <w:r w:rsidR="00633438">
        <w:t>c</w:t>
      </w:r>
      <w:r w:rsidRPr="001B72FC">
        <w:t xml:space="preserve">onsistency. </w:t>
      </w:r>
      <w:r w:rsidRPr="00633438">
        <w:rPr>
          <w:i/>
          <w:iCs/>
        </w:rPr>
        <w:t>Psychology, Crime &amp; Law</w:t>
      </w:r>
      <w:r w:rsidR="00633438" w:rsidRPr="00633438">
        <w:rPr>
          <w:i/>
          <w:iCs/>
        </w:rPr>
        <w:t>,</w:t>
      </w:r>
      <w:r w:rsidRPr="00633438">
        <w:rPr>
          <w:i/>
          <w:iCs/>
        </w:rPr>
        <w:t xml:space="preserve"> 25</w:t>
      </w:r>
      <w:r w:rsidRPr="001B72FC">
        <w:t>(3)</w:t>
      </w:r>
      <w:r w:rsidR="00633438">
        <w:t>,</w:t>
      </w:r>
      <w:r w:rsidRPr="001B72FC">
        <w:t xml:space="preserve"> 279-97.</w:t>
      </w:r>
      <w:r w:rsidR="00633438">
        <w:t xml:space="preserve"> </w:t>
      </w:r>
      <w:hyperlink r:id="rId13" w:history="1">
        <w:r w:rsidR="00633438" w:rsidRPr="00973524">
          <w:rPr>
            <w:rStyle w:val="Hyperlink"/>
          </w:rPr>
          <w:t>https://doi.org/10.1080/1068316X.2018.1519828</w:t>
        </w:r>
      </w:hyperlink>
    </w:p>
    <w:p w14:paraId="74BE880F" w14:textId="55673F82" w:rsidR="00645E1A" w:rsidRDefault="00645E1A" w:rsidP="00645E1A">
      <w:pPr>
        <w:pStyle w:val="Tabletitle"/>
        <w:spacing w:line="276" w:lineRule="auto"/>
        <w:jc w:val="both"/>
      </w:pPr>
      <w:r>
        <w:t xml:space="preserve">McCulloch, J., Pfitzner, </w:t>
      </w:r>
      <w:r w:rsidR="00633438">
        <w:t xml:space="preserve">N., </w:t>
      </w:r>
      <w:r>
        <w:t xml:space="preserve">Maher, </w:t>
      </w:r>
      <w:r w:rsidR="00633438">
        <w:t xml:space="preserve">J., </w:t>
      </w:r>
      <w:proofErr w:type="gramStart"/>
      <w:r>
        <w:t>Fitz-Gibbon</w:t>
      </w:r>
      <w:proofErr w:type="gramEnd"/>
      <w:r>
        <w:t xml:space="preserve">, </w:t>
      </w:r>
      <w:r w:rsidR="00633438">
        <w:t>K., &amp;</w:t>
      </w:r>
      <w:r>
        <w:t xml:space="preserve"> Segrave</w:t>
      </w:r>
      <w:r w:rsidR="00633438">
        <w:t>, M</w:t>
      </w:r>
      <w:r>
        <w:t xml:space="preserve">. </w:t>
      </w:r>
      <w:r w:rsidR="00633438">
        <w:t>(</w:t>
      </w:r>
      <w:r>
        <w:t>2019</w:t>
      </w:r>
      <w:r w:rsidR="00633438" w:rsidRPr="00633438">
        <w:rPr>
          <w:i/>
          <w:iCs/>
        </w:rPr>
        <w:t>)</w:t>
      </w:r>
      <w:r w:rsidRPr="00633438">
        <w:rPr>
          <w:i/>
          <w:iCs/>
        </w:rPr>
        <w:t xml:space="preserve">. Evaluation of the </w:t>
      </w:r>
      <w:proofErr w:type="spellStart"/>
      <w:r w:rsidR="00633438" w:rsidRPr="00633438">
        <w:rPr>
          <w:i/>
          <w:iCs/>
        </w:rPr>
        <w:t>v</w:t>
      </w:r>
      <w:r w:rsidRPr="00633438">
        <w:rPr>
          <w:i/>
          <w:iCs/>
        </w:rPr>
        <w:t>ictoria</w:t>
      </w:r>
      <w:proofErr w:type="spellEnd"/>
      <w:r w:rsidRPr="00633438">
        <w:rPr>
          <w:i/>
          <w:iCs/>
        </w:rPr>
        <w:t xml:space="preserve"> </w:t>
      </w:r>
      <w:r w:rsidR="00633438" w:rsidRPr="00633438">
        <w:rPr>
          <w:i/>
          <w:iCs/>
        </w:rPr>
        <w:t>p</w:t>
      </w:r>
      <w:r w:rsidRPr="00633438">
        <w:rPr>
          <w:i/>
          <w:iCs/>
        </w:rPr>
        <w:t xml:space="preserve">olice </w:t>
      </w:r>
      <w:r w:rsidR="00633438" w:rsidRPr="00633438">
        <w:rPr>
          <w:i/>
          <w:iCs/>
        </w:rPr>
        <w:t>d</w:t>
      </w:r>
      <w:r w:rsidRPr="00633438">
        <w:rPr>
          <w:i/>
          <w:iCs/>
        </w:rPr>
        <w:t xml:space="preserve">igitally </w:t>
      </w:r>
      <w:r w:rsidR="00633438" w:rsidRPr="00633438">
        <w:rPr>
          <w:i/>
          <w:iCs/>
        </w:rPr>
        <w:t>r</w:t>
      </w:r>
      <w:r w:rsidRPr="00633438">
        <w:rPr>
          <w:i/>
          <w:iCs/>
        </w:rPr>
        <w:t xml:space="preserve">ecorded </w:t>
      </w:r>
      <w:r w:rsidR="00633438" w:rsidRPr="00633438">
        <w:rPr>
          <w:i/>
          <w:iCs/>
        </w:rPr>
        <w:t>e</w:t>
      </w:r>
      <w:r w:rsidRPr="00633438">
        <w:rPr>
          <w:i/>
          <w:iCs/>
        </w:rPr>
        <w:t>vidence-in-</w:t>
      </w:r>
      <w:r w:rsidR="00633438" w:rsidRPr="00633438">
        <w:rPr>
          <w:i/>
          <w:iCs/>
        </w:rPr>
        <w:t>c</w:t>
      </w:r>
      <w:r w:rsidRPr="00633438">
        <w:rPr>
          <w:i/>
          <w:iCs/>
        </w:rPr>
        <w:t xml:space="preserve">hief </w:t>
      </w:r>
      <w:r w:rsidR="00633438" w:rsidRPr="00633438">
        <w:rPr>
          <w:i/>
          <w:iCs/>
        </w:rPr>
        <w:t>f</w:t>
      </w:r>
      <w:r w:rsidRPr="00633438">
        <w:rPr>
          <w:i/>
          <w:iCs/>
        </w:rPr>
        <w:t xml:space="preserve">amily </w:t>
      </w:r>
      <w:r w:rsidR="00633438" w:rsidRPr="00633438">
        <w:rPr>
          <w:i/>
          <w:iCs/>
        </w:rPr>
        <w:t>v</w:t>
      </w:r>
      <w:r w:rsidRPr="00633438">
        <w:rPr>
          <w:i/>
          <w:iCs/>
        </w:rPr>
        <w:t xml:space="preserve">iolence </w:t>
      </w:r>
      <w:r w:rsidR="00633438" w:rsidRPr="00633438">
        <w:rPr>
          <w:i/>
          <w:iCs/>
        </w:rPr>
        <w:t>t</w:t>
      </w:r>
      <w:r w:rsidRPr="00633438">
        <w:rPr>
          <w:i/>
          <w:iCs/>
        </w:rPr>
        <w:t xml:space="preserve">rial: Final </w:t>
      </w:r>
      <w:r w:rsidR="00633438" w:rsidRPr="00633438">
        <w:rPr>
          <w:i/>
          <w:iCs/>
        </w:rPr>
        <w:t>r</w:t>
      </w:r>
      <w:r w:rsidRPr="00633438">
        <w:rPr>
          <w:i/>
          <w:iCs/>
        </w:rPr>
        <w:t>eport</w:t>
      </w:r>
      <w:r>
        <w:t>. Monash Gender and Family Violence Prevention Centre, Monash University.</w:t>
      </w:r>
    </w:p>
    <w:p w14:paraId="0B55F855" w14:textId="68FF8D40" w:rsidR="00633438" w:rsidRDefault="00645E1A" w:rsidP="00633438">
      <w:pPr>
        <w:pStyle w:val="Tabletitle"/>
        <w:spacing w:line="276" w:lineRule="auto"/>
        <w:jc w:val="both"/>
      </w:pPr>
      <w:r>
        <w:t xml:space="preserve">Moore, D., </w:t>
      </w:r>
      <w:r w:rsidR="00633438">
        <w:t>&amp;</w:t>
      </w:r>
      <w:r>
        <w:t xml:space="preserve"> Singh</w:t>
      </w:r>
      <w:r w:rsidR="00633438">
        <w:t>, R</w:t>
      </w:r>
      <w:r>
        <w:t xml:space="preserve">. </w:t>
      </w:r>
      <w:r w:rsidR="00633438">
        <w:t>(</w:t>
      </w:r>
      <w:r>
        <w:t>2018</w:t>
      </w:r>
      <w:r w:rsidR="00633438">
        <w:t>)</w:t>
      </w:r>
      <w:r>
        <w:t xml:space="preserve">. Seeing </w:t>
      </w:r>
      <w:r w:rsidR="00633438">
        <w:t>c</w:t>
      </w:r>
      <w:r>
        <w:t xml:space="preserve">rime, </w:t>
      </w:r>
      <w:r w:rsidR="00633438">
        <w:t>f</w:t>
      </w:r>
      <w:r>
        <w:t xml:space="preserve">eeling </w:t>
      </w:r>
      <w:r w:rsidR="00633438">
        <w:t>c</w:t>
      </w:r>
      <w:r>
        <w:t xml:space="preserve">rime: Visual </w:t>
      </w:r>
      <w:r w:rsidR="00633438">
        <w:t>e</w:t>
      </w:r>
      <w:r>
        <w:t xml:space="preserve">vidence, </w:t>
      </w:r>
      <w:r w:rsidR="00633438">
        <w:t>e</w:t>
      </w:r>
      <w:r>
        <w:t xml:space="preserve">motions and the </w:t>
      </w:r>
      <w:r w:rsidR="00633438">
        <w:t>p</w:t>
      </w:r>
      <w:r>
        <w:t xml:space="preserve">rosecution of </w:t>
      </w:r>
      <w:r w:rsidR="00633438">
        <w:t>d</w:t>
      </w:r>
      <w:r>
        <w:t xml:space="preserve">omestic </w:t>
      </w:r>
      <w:r w:rsidR="00633438">
        <w:t>v</w:t>
      </w:r>
      <w:r>
        <w:t xml:space="preserve">iolence. </w:t>
      </w:r>
      <w:r w:rsidRPr="00633438">
        <w:rPr>
          <w:i/>
          <w:iCs/>
        </w:rPr>
        <w:t>Theoretical Criminology</w:t>
      </w:r>
      <w:r w:rsidR="00633438" w:rsidRPr="00633438">
        <w:rPr>
          <w:i/>
          <w:iCs/>
        </w:rPr>
        <w:t>,</w:t>
      </w:r>
      <w:r w:rsidRPr="00633438">
        <w:rPr>
          <w:i/>
          <w:iCs/>
        </w:rPr>
        <w:t xml:space="preserve"> 22</w:t>
      </w:r>
      <w:r>
        <w:t>(1)</w:t>
      </w:r>
      <w:r w:rsidR="00633438">
        <w:t>,</w:t>
      </w:r>
      <w:r>
        <w:t xml:space="preserve"> 116-132.</w:t>
      </w:r>
      <w:r w:rsidR="00633438">
        <w:t xml:space="preserve"> </w:t>
      </w:r>
      <w:hyperlink r:id="rId14" w:history="1">
        <w:r w:rsidR="00633438" w:rsidRPr="00973524">
          <w:rPr>
            <w:rStyle w:val="Hyperlink"/>
          </w:rPr>
          <w:t>https://doi.org/10.1177/1362480616684194</w:t>
        </w:r>
      </w:hyperlink>
    </w:p>
    <w:p w14:paraId="1F39588E" w14:textId="77777777" w:rsidR="00633438" w:rsidRDefault="00633438" w:rsidP="00633438"/>
    <w:p w14:paraId="429E3576" w14:textId="70F70CEB" w:rsidR="008029DC" w:rsidRPr="008029DC" w:rsidRDefault="00633438" w:rsidP="008029DC">
      <w:pPr>
        <w:spacing w:before="240" w:line="276" w:lineRule="auto"/>
      </w:pPr>
      <w:r w:rsidRPr="00633438">
        <w:rPr>
          <w:lang w:val="en-IT"/>
        </w:rPr>
        <w:t xml:space="preserve">New South Wales Police Force. (2025). Domestic violence evidence-in-chief (DVEC) brochure. </w:t>
      </w:r>
      <w:r w:rsidRPr="00633438">
        <w:rPr>
          <w:i/>
          <w:iCs/>
          <w:lang w:val="en-IT"/>
        </w:rPr>
        <w:t>NSW Police</w:t>
      </w:r>
      <w:r>
        <w:rPr>
          <w:lang w:val="en-IT"/>
        </w:rPr>
        <w:t>.</w:t>
      </w:r>
      <w:r w:rsidR="008029DC">
        <w:rPr>
          <w:lang w:val="en-IT"/>
        </w:rPr>
        <w:t xml:space="preserve"> </w:t>
      </w:r>
      <w:hyperlink r:id="rId15" w:history="1">
        <w:r w:rsidR="008029DC" w:rsidRPr="00973524">
          <w:rPr>
            <w:rStyle w:val="Hyperlink"/>
          </w:rPr>
          <w:t>https://www.police.nsw.gov.au/__data/assets/pdf_file/0003/531714/DVEC_Brochure.pdf</w:t>
        </w:r>
      </w:hyperlink>
    </w:p>
    <w:p w14:paraId="281D61AC" w14:textId="34EEBA40" w:rsidR="008029DC" w:rsidRDefault="008029DC" w:rsidP="008029DC">
      <w:pPr>
        <w:pStyle w:val="Tabletitle"/>
        <w:spacing w:line="276" w:lineRule="auto"/>
        <w:jc w:val="both"/>
        <w:rPr>
          <w:lang w:val="en-IT"/>
        </w:rPr>
      </w:pPr>
      <w:r w:rsidRPr="008029DC">
        <w:rPr>
          <w:lang w:val="en-IT"/>
        </w:rPr>
        <w:t>Nitschke, F. T., &amp; McKimmie, B. M. (2024). Responding to stereotypes about domestic and sexual</w:t>
      </w:r>
      <w:r>
        <w:rPr>
          <w:lang w:val="en-IT"/>
        </w:rPr>
        <w:t xml:space="preserve"> </w:t>
      </w:r>
      <w:r w:rsidRPr="008029DC">
        <w:rPr>
          <w:lang w:val="en-IT"/>
        </w:rPr>
        <w:t xml:space="preserve">violence in the jury room. </w:t>
      </w:r>
      <w:r w:rsidRPr="008029DC">
        <w:rPr>
          <w:i/>
          <w:iCs/>
          <w:lang w:val="en-IT"/>
        </w:rPr>
        <w:t>Judicial Quarterly Review</w:t>
      </w:r>
      <w:r w:rsidRPr="008029DC">
        <w:rPr>
          <w:lang w:val="en-IT"/>
        </w:rPr>
        <w:t xml:space="preserve">, </w:t>
      </w:r>
      <w:r w:rsidRPr="008029DC">
        <w:rPr>
          <w:i/>
          <w:iCs/>
          <w:lang w:val="en-IT"/>
        </w:rPr>
        <w:t>2</w:t>
      </w:r>
      <w:r w:rsidRPr="008029DC">
        <w:rPr>
          <w:lang w:val="en-IT"/>
        </w:rPr>
        <w:t>(2), 27–39.</w:t>
      </w:r>
    </w:p>
    <w:p w14:paraId="4B005815" w14:textId="6912087E" w:rsidR="008029DC" w:rsidRDefault="008029DC" w:rsidP="008029DC">
      <w:pPr>
        <w:pStyle w:val="Tabletitle"/>
        <w:spacing w:line="276" w:lineRule="auto"/>
        <w:jc w:val="both"/>
        <w:rPr>
          <w:lang w:val="en-IT"/>
        </w:rPr>
      </w:pPr>
      <w:r w:rsidRPr="008029DC">
        <w:rPr>
          <w:lang w:val="en-IT"/>
        </w:rPr>
        <w:t>Nitschke, F. T., McKimmie, B. M., &amp; Vanman, E. J. (2019). A meta-analysis of the emotional victim effect for female adult rape complainants: Does complainant distress influence credibility?</w:t>
      </w:r>
      <w:r>
        <w:rPr>
          <w:lang w:val="en-IT"/>
        </w:rPr>
        <w:t xml:space="preserve"> </w:t>
      </w:r>
      <w:r w:rsidRPr="008029DC">
        <w:rPr>
          <w:i/>
          <w:iCs/>
          <w:lang w:val="en-IT"/>
        </w:rPr>
        <w:t>Psychological Bulletin</w:t>
      </w:r>
      <w:r w:rsidRPr="008029DC">
        <w:rPr>
          <w:lang w:val="en-IT"/>
        </w:rPr>
        <w:t xml:space="preserve">, </w:t>
      </w:r>
      <w:r w:rsidRPr="008029DC">
        <w:rPr>
          <w:i/>
          <w:iCs/>
          <w:lang w:val="en-IT"/>
        </w:rPr>
        <w:t>145</w:t>
      </w:r>
      <w:r w:rsidRPr="008029DC">
        <w:rPr>
          <w:lang w:val="en-IT"/>
        </w:rPr>
        <w:t xml:space="preserve">(10), 953–979. </w:t>
      </w:r>
      <w:hyperlink r:id="rId16" w:history="1">
        <w:r w:rsidRPr="008029DC">
          <w:rPr>
            <w:rStyle w:val="Hyperlink"/>
            <w:lang w:val="en-IT"/>
          </w:rPr>
          <w:t>https://doi.org/10.1037/bul0000206</w:t>
        </w:r>
      </w:hyperlink>
    </w:p>
    <w:p w14:paraId="74DE572C" w14:textId="77777777" w:rsidR="008029DC" w:rsidRDefault="008029DC" w:rsidP="008029DC">
      <w:pPr>
        <w:pStyle w:val="Tabletitle"/>
        <w:spacing w:line="276" w:lineRule="auto"/>
        <w:jc w:val="both"/>
        <w:rPr>
          <w:lang w:val="en-IT"/>
        </w:rPr>
      </w:pPr>
      <w:r w:rsidRPr="008029DC">
        <w:rPr>
          <w:lang w:val="en-IT"/>
        </w:rPr>
        <w:t xml:space="preserve">Nitschke, F. T., McKimmie, B. M., &amp; Vanman, E. J. (2023). The effect of trauma education judicial instructions on decisions about complainant credibility in rape trials. </w:t>
      </w:r>
      <w:r w:rsidRPr="008029DC">
        <w:rPr>
          <w:i/>
          <w:iCs/>
          <w:lang w:val="en-IT"/>
        </w:rPr>
        <w:t>Psychology, Public Policy, and Law</w:t>
      </w:r>
      <w:r w:rsidRPr="008029DC">
        <w:rPr>
          <w:lang w:val="en-IT"/>
        </w:rPr>
        <w:t xml:space="preserve">, </w:t>
      </w:r>
      <w:r w:rsidRPr="008029DC">
        <w:rPr>
          <w:i/>
          <w:iCs/>
          <w:lang w:val="en-IT"/>
        </w:rPr>
        <w:t>29</w:t>
      </w:r>
      <w:r w:rsidRPr="008029DC">
        <w:rPr>
          <w:lang w:val="en-IT"/>
        </w:rPr>
        <w:t xml:space="preserve">(1), 69–92. </w:t>
      </w:r>
      <w:hyperlink r:id="rId17" w:history="1">
        <w:r w:rsidRPr="008029DC">
          <w:rPr>
            <w:rStyle w:val="Hyperlink"/>
            <w:lang w:val="en-IT"/>
          </w:rPr>
          <w:t>https://doi.org/10.1037/law0000353</w:t>
        </w:r>
      </w:hyperlink>
    </w:p>
    <w:p w14:paraId="0A32C5B2" w14:textId="65838982" w:rsidR="008029DC" w:rsidRDefault="008029DC" w:rsidP="008029DC">
      <w:pPr>
        <w:pStyle w:val="Tabletitle"/>
        <w:spacing w:line="276" w:lineRule="auto"/>
        <w:jc w:val="both"/>
        <w:rPr>
          <w:lang w:val="en-IT"/>
        </w:rPr>
      </w:pPr>
      <w:r w:rsidRPr="008029DC">
        <w:rPr>
          <w:lang w:val="en-IT"/>
        </w:rPr>
        <w:t xml:space="preserve">NSW Council of Social Service (NCOSS). (2021). NSW budget 2020–21 analysis: Domestic violence. </w:t>
      </w:r>
      <w:hyperlink r:id="rId18" w:history="1">
        <w:r w:rsidRPr="008029DC">
          <w:rPr>
            <w:rStyle w:val="Hyperlink"/>
            <w:lang w:val="en-IT"/>
          </w:rPr>
          <w:t>https://www.ncoss.org.au/nsw-budget-2020-21-analysis-domestic-violence/</w:t>
        </w:r>
      </w:hyperlink>
    </w:p>
    <w:p w14:paraId="6FF62FC9" w14:textId="0FD49921" w:rsidR="008029DC" w:rsidRDefault="008029DC" w:rsidP="008029DC">
      <w:pPr>
        <w:pStyle w:val="Tabletitle"/>
        <w:spacing w:line="276" w:lineRule="auto"/>
        <w:jc w:val="both"/>
        <w:rPr>
          <w:lang w:val="en-IT"/>
        </w:rPr>
      </w:pPr>
      <w:r w:rsidRPr="008029DC">
        <w:rPr>
          <w:lang w:val="en-IT"/>
        </w:rPr>
        <w:t>NSW Women’s Legal Service. (2025). Domestic Violence Evidence-in-Chief (DVEC) external</w:t>
      </w:r>
      <w:r>
        <w:rPr>
          <w:lang w:val="en-IT"/>
        </w:rPr>
        <w:t xml:space="preserve"> </w:t>
      </w:r>
      <w:r w:rsidRPr="008029DC">
        <w:rPr>
          <w:lang w:val="en-IT"/>
        </w:rPr>
        <w:t>summary.</w:t>
      </w:r>
      <w:r>
        <w:rPr>
          <w:lang w:val="en-IT"/>
        </w:rPr>
        <w:t xml:space="preserve"> </w:t>
      </w:r>
      <w:hyperlink r:id="rId19" w:history="1">
        <w:r w:rsidRPr="008029DC">
          <w:rPr>
            <w:rStyle w:val="Hyperlink"/>
            <w:lang w:val="en-IT"/>
          </w:rPr>
          <w:t>https://www.wlsnsw.org.au/wp-content/uploads/DVEC-external-summary.pdf</w:t>
        </w:r>
      </w:hyperlink>
    </w:p>
    <w:p w14:paraId="539E0961" w14:textId="36C95791" w:rsidR="008029DC" w:rsidRDefault="008029DC" w:rsidP="008029DC">
      <w:pPr>
        <w:pStyle w:val="Tabletitle"/>
        <w:spacing w:line="276" w:lineRule="auto"/>
        <w:jc w:val="both"/>
        <w:rPr>
          <w:lang w:val="en-IT"/>
        </w:rPr>
      </w:pPr>
      <w:r w:rsidRPr="008029DC">
        <w:rPr>
          <w:lang w:val="en-IT"/>
        </w:rPr>
        <w:t xml:space="preserve">Nuñez, N., Estrada-Reynolds, V., Schweitzer, K., &amp; Myers, B. (2016). The impact of emotions on juror judgments and decision-making. </w:t>
      </w:r>
      <w:r w:rsidRPr="008029DC">
        <w:rPr>
          <w:i/>
          <w:iCs/>
          <w:lang w:val="en-IT"/>
        </w:rPr>
        <w:t>Advances in Psychology and Law 2</w:t>
      </w:r>
      <w:r w:rsidRPr="008029DC">
        <w:rPr>
          <w:lang w:val="en-IT"/>
        </w:rPr>
        <w:t xml:space="preserve">, 55–93. </w:t>
      </w:r>
      <w:hyperlink r:id="rId20" w:history="1">
        <w:r w:rsidRPr="008029DC">
          <w:rPr>
            <w:rStyle w:val="Hyperlink"/>
            <w:lang w:val="en-IT"/>
          </w:rPr>
          <w:t>https://doi.org/10.1007/978-3-319-43083-6_3</w:t>
        </w:r>
      </w:hyperlink>
    </w:p>
    <w:p w14:paraId="654425FC" w14:textId="3D3F6632" w:rsidR="008029DC" w:rsidRDefault="008029DC" w:rsidP="008029DC">
      <w:pPr>
        <w:pStyle w:val="Tabletitle"/>
        <w:spacing w:line="276" w:lineRule="auto"/>
        <w:jc w:val="both"/>
        <w:rPr>
          <w:lang w:val="en-IT"/>
        </w:rPr>
      </w:pPr>
      <w:r w:rsidRPr="008029DC">
        <w:rPr>
          <w:lang w:val="en-IT"/>
        </w:rPr>
        <w:t xml:space="preserve">Nuñez, N., Myers, B., Wilkowski, B. M., &amp; Schweitzer, K. (2017). The impact of angry versus sad victim impact statements on mock jurors’ sentencing decisions in a capital trial. </w:t>
      </w:r>
      <w:r w:rsidRPr="008029DC">
        <w:rPr>
          <w:i/>
          <w:iCs/>
          <w:lang w:val="en-IT"/>
        </w:rPr>
        <w:t>Criminal Justice</w:t>
      </w:r>
      <w:r>
        <w:rPr>
          <w:i/>
          <w:iCs/>
          <w:lang w:val="en-IT"/>
        </w:rPr>
        <w:t xml:space="preserve"> </w:t>
      </w:r>
      <w:r w:rsidRPr="008029DC">
        <w:rPr>
          <w:i/>
          <w:iCs/>
          <w:lang w:val="en-IT"/>
        </w:rPr>
        <w:t>and Behavior</w:t>
      </w:r>
      <w:r w:rsidRPr="008029DC">
        <w:rPr>
          <w:lang w:val="en-IT"/>
        </w:rPr>
        <w:t xml:space="preserve">, </w:t>
      </w:r>
      <w:r w:rsidRPr="008029DC">
        <w:rPr>
          <w:i/>
          <w:iCs/>
          <w:lang w:val="en-IT"/>
        </w:rPr>
        <w:t>44</w:t>
      </w:r>
      <w:r w:rsidRPr="008029DC">
        <w:rPr>
          <w:lang w:val="en-IT"/>
        </w:rPr>
        <w:t>(6), 862–886.</w:t>
      </w:r>
      <w:r>
        <w:rPr>
          <w:lang w:val="en-IT"/>
        </w:rPr>
        <w:t xml:space="preserve"> </w:t>
      </w:r>
      <w:r>
        <w:rPr>
          <w:lang w:val="en-IT"/>
        </w:rPr>
        <w:fldChar w:fldCharType="begin"/>
      </w:r>
      <w:r>
        <w:rPr>
          <w:lang w:val="en-IT"/>
        </w:rPr>
        <w:instrText>HYPERLINK "https://doi.org/10.1177/0093854816689809"</w:instrText>
      </w:r>
      <w:r>
        <w:rPr>
          <w:lang w:val="en-IT"/>
        </w:rPr>
      </w:r>
      <w:r>
        <w:rPr>
          <w:lang w:val="en-IT"/>
        </w:rPr>
        <w:fldChar w:fldCharType="separate"/>
      </w:r>
      <w:r w:rsidRPr="008029DC">
        <w:rPr>
          <w:rStyle w:val="Hyperlink"/>
          <w:lang w:val="en-IT"/>
        </w:rPr>
        <w:t>https://doi.org/10.1177/0093854816689809</w:t>
      </w:r>
      <w:r>
        <w:rPr>
          <w:lang w:val="en-IT"/>
        </w:rPr>
        <w:fldChar w:fldCharType="end"/>
      </w:r>
    </w:p>
    <w:p w14:paraId="2159AF74" w14:textId="1B2434B9" w:rsidR="008029DC" w:rsidRDefault="008029DC" w:rsidP="008029DC">
      <w:pPr>
        <w:pStyle w:val="Tabletitle"/>
        <w:spacing w:line="276" w:lineRule="auto"/>
        <w:jc w:val="both"/>
        <w:rPr>
          <w:lang w:val="en-IT"/>
        </w:rPr>
      </w:pPr>
      <w:r w:rsidRPr="008029DC">
        <w:rPr>
          <w:lang w:val="en-IT"/>
        </w:rPr>
        <w:t xml:space="preserve">Nuñez, N., Schweitzer, K., Chai, C. A., &amp; Myers, B. (2015). Negative emotions felt during trial: The effect of fear, anger, and sadness on juror decision making. </w:t>
      </w:r>
      <w:r w:rsidRPr="008029DC">
        <w:rPr>
          <w:i/>
          <w:iCs/>
          <w:lang w:val="en-IT"/>
        </w:rPr>
        <w:t>Applied Cognitive Psychology</w:t>
      </w:r>
      <w:r w:rsidRPr="008029DC">
        <w:rPr>
          <w:lang w:val="en-IT"/>
        </w:rPr>
        <w:t xml:space="preserve">, </w:t>
      </w:r>
      <w:r w:rsidRPr="008029DC">
        <w:rPr>
          <w:i/>
          <w:iCs/>
          <w:lang w:val="en-IT"/>
        </w:rPr>
        <w:t>29</w:t>
      </w:r>
      <w:r w:rsidRPr="008029DC">
        <w:rPr>
          <w:lang w:val="en-IT"/>
        </w:rPr>
        <w:t>(2),</w:t>
      </w:r>
      <w:r>
        <w:rPr>
          <w:lang w:val="en-IT"/>
        </w:rPr>
        <w:t xml:space="preserve"> </w:t>
      </w:r>
      <w:r w:rsidRPr="008029DC">
        <w:rPr>
          <w:lang w:val="en-IT"/>
        </w:rPr>
        <w:t>200–209.</w:t>
      </w:r>
      <w:r>
        <w:rPr>
          <w:lang w:val="en-IT"/>
        </w:rPr>
        <w:t xml:space="preserve"> </w:t>
      </w:r>
      <w:hyperlink r:id="rId21" w:history="1">
        <w:r w:rsidRPr="008029DC">
          <w:rPr>
            <w:rStyle w:val="Hyperlink"/>
            <w:lang w:val="en-IT"/>
          </w:rPr>
          <w:t>https://doi.org/10.1002/acp.3094</w:t>
        </w:r>
      </w:hyperlink>
    </w:p>
    <w:p w14:paraId="09B9184E" w14:textId="77777777" w:rsidR="008029DC" w:rsidRDefault="008029DC" w:rsidP="008029DC">
      <w:pPr>
        <w:pStyle w:val="Tabletitle"/>
        <w:spacing w:line="276" w:lineRule="auto"/>
        <w:jc w:val="both"/>
        <w:rPr>
          <w:lang w:val="en-IT"/>
        </w:rPr>
      </w:pPr>
      <w:r w:rsidRPr="008029DC">
        <w:rPr>
          <w:lang w:val="en-IT"/>
        </w:rPr>
        <w:t xml:space="preserve">Palmer, A. (1994). The scope of the similar fact rule. </w:t>
      </w:r>
      <w:r w:rsidRPr="008029DC">
        <w:rPr>
          <w:i/>
          <w:iCs/>
          <w:lang w:val="en-IT"/>
        </w:rPr>
        <w:t>Adelaide Law Review</w:t>
      </w:r>
      <w:r w:rsidRPr="008029DC">
        <w:rPr>
          <w:lang w:val="en-IT"/>
        </w:rPr>
        <w:t xml:space="preserve">, </w:t>
      </w:r>
      <w:r w:rsidRPr="008029DC">
        <w:rPr>
          <w:i/>
          <w:iCs/>
          <w:lang w:val="en-IT"/>
        </w:rPr>
        <w:t>16</w:t>
      </w:r>
      <w:r w:rsidRPr="008029DC">
        <w:rPr>
          <w:lang w:val="en-IT"/>
        </w:rPr>
        <w:t>(1), 161–190.</w:t>
      </w:r>
      <w:r>
        <w:rPr>
          <w:lang w:val="en-IT"/>
        </w:rPr>
        <w:t xml:space="preserve"> </w:t>
      </w:r>
      <w:r w:rsidRPr="008029DC">
        <w:rPr>
          <w:i/>
          <w:iCs/>
          <w:lang w:val="en-IT"/>
        </w:rPr>
        <w:t>Palmer v The Queen</w:t>
      </w:r>
      <w:r w:rsidRPr="008029DC">
        <w:rPr>
          <w:lang w:val="en-IT"/>
        </w:rPr>
        <w:t>. (1998). 193 CLR 1 (HCA).</w:t>
      </w:r>
    </w:p>
    <w:p w14:paraId="222AE8D4" w14:textId="40350B7A" w:rsidR="008029DC" w:rsidRDefault="008029DC" w:rsidP="008029DC">
      <w:pPr>
        <w:pStyle w:val="Tabletitle"/>
        <w:spacing w:line="276" w:lineRule="auto"/>
        <w:jc w:val="both"/>
        <w:rPr>
          <w:lang w:val="en-IT"/>
        </w:rPr>
      </w:pPr>
      <w:r w:rsidRPr="008029DC">
        <w:rPr>
          <w:lang w:val="en-IT"/>
        </w:rPr>
        <w:t xml:space="preserve">Pessoa L. (2008). On the relationship between emotion and cognition. Nature reviews. </w:t>
      </w:r>
      <w:r w:rsidRPr="008029DC">
        <w:rPr>
          <w:i/>
          <w:iCs/>
          <w:lang w:val="en-IT"/>
        </w:rPr>
        <w:t>Neuroscience</w:t>
      </w:r>
      <w:r w:rsidRPr="008029DC">
        <w:rPr>
          <w:lang w:val="en-IT"/>
        </w:rPr>
        <w:t>,</w:t>
      </w:r>
      <w:r>
        <w:rPr>
          <w:lang w:val="en-IT"/>
        </w:rPr>
        <w:t xml:space="preserve"> </w:t>
      </w:r>
      <w:r w:rsidRPr="008029DC">
        <w:rPr>
          <w:i/>
          <w:iCs/>
          <w:lang w:val="en-IT"/>
        </w:rPr>
        <w:t>9</w:t>
      </w:r>
      <w:r w:rsidRPr="008029DC">
        <w:rPr>
          <w:lang w:val="en-IT"/>
        </w:rPr>
        <w:t xml:space="preserve">(2), 148–158. </w:t>
      </w:r>
      <w:hyperlink r:id="rId22" w:history="1">
        <w:r w:rsidRPr="008029DC">
          <w:rPr>
            <w:rStyle w:val="Hyperlink"/>
            <w:lang w:val="en-IT"/>
          </w:rPr>
          <w:t>https://doi.org/10.1038/nrn2317</w:t>
        </w:r>
      </w:hyperlink>
    </w:p>
    <w:p w14:paraId="6C2E78A5" w14:textId="77777777" w:rsidR="008029DC" w:rsidRDefault="008029DC" w:rsidP="008029DC">
      <w:pPr>
        <w:pStyle w:val="Tabletitle"/>
        <w:spacing w:line="276" w:lineRule="auto"/>
        <w:jc w:val="both"/>
        <w:rPr>
          <w:lang w:val="en-IT"/>
        </w:rPr>
      </w:pPr>
      <w:r w:rsidRPr="008029DC">
        <w:rPr>
          <w:lang w:val="en-IT"/>
        </w:rPr>
        <w:t xml:space="preserve">Pezdek, K. (2022). Psychological research on the use of Body-Worn Cameras. In B. H. Bornstein, M. K. Miller, &amp; D. DeMatteo (Eds.), </w:t>
      </w:r>
      <w:r w:rsidRPr="008029DC">
        <w:rPr>
          <w:i/>
          <w:iCs/>
          <w:lang w:val="en-IT"/>
        </w:rPr>
        <w:t>Advances in psychology and law</w:t>
      </w:r>
      <w:r w:rsidRPr="008029DC">
        <w:rPr>
          <w:lang w:val="en-IT"/>
        </w:rPr>
        <w:t xml:space="preserve">, (Vol. 6, pp. 39–62). </w:t>
      </w:r>
    </w:p>
    <w:p w14:paraId="1435B7D4" w14:textId="23CC3588" w:rsidR="008029DC" w:rsidRDefault="008029DC" w:rsidP="008029DC">
      <w:pPr>
        <w:pStyle w:val="Tabletitle"/>
        <w:spacing w:line="276" w:lineRule="auto"/>
        <w:jc w:val="both"/>
        <w:rPr>
          <w:lang w:val="en-IT"/>
        </w:rPr>
      </w:pPr>
      <w:r w:rsidRPr="008029DC">
        <w:rPr>
          <w:lang w:val="en-IT"/>
        </w:rPr>
        <w:t xml:space="preserve">Queensland Courts. (2017). Supreme and District Courts Criminal Directions Benchbook. </w:t>
      </w:r>
    </w:p>
    <w:p w14:paraId="01C4D71A" w14:textId="77777777" w:rsidR="008029DC" w:rsidRDefault="008029DC" w:rsidP="008029DC">
      <w:pPr>
        <w:pStyle w:val="Tabletitle"/>
        <w:spacing w:line="276" w:lineRule="auto"/>
        <w:jc w:val="both"/>
        <w:rPr>
          <w:lang w:val="en-IT"/>
        </w:rPr>
      </w:pPr>
      <w:r w:rsidRPr="008029DC">
        <w:rPr>
          <w:lang w:val="en-IT"/>
        </w:rPr>
        <w:t xml:space="preserve">Roach Anleu, S., &amp; Mack, K. (2017). Impartiality and emotion in judicial work. </w:t>
      </w:r>
      <w:r w:rsidRPr="008029DC">
        <w:rPr>
          <w:i/>
          <w:iCs/>
          <w:lang w:val="en-IT"/>
        </w:rPr>
        <w:t>Judicial Officer’s Bulletin</w:t>
      </w:r>
      <w:r w:rsidRPr="008029DC">
        <w:rPr>
          <w:lang w:val="en-IT"/>
        </w:rPr>
        <w:t xml:space="preserve">, </w:t>
      </w:r>
      <w:r w:rsidRPr="008029DC">
        <w:rPr>
          <w:i/>
          <w:iCs/>
          <w:lang w:val="en-IT"/>
        </w:rPr>
        <w:t>29</w:t>
      </w:r>
      <w:r w:rsidRPr="008029DC">
        <w:rPr>
          <w:lang w:val="en-IT"/>
        </w:rPr>
        <w:t xml:space="preserve">(3), 21–24. </w:t>
      </w:r>
    </w:p>
    <w:p w14:paraId="0648B3D3" w14:textId="77777777" w:rsidR="008029DC" w:rsidRDefault="008029DC" w:rsidP="008029DC">
      <w:pPr>
        <w:pStyle w:val="Tabletitle"/>
        <w:spacing w:line="276" w:lineRule="auto"/>
        <w:jc w:val="both"/>
        <w:rPr>
          <w:lang w:val="en-IT"/>
        </w:rPr>
      </w:pPr>
      <w:r w:rsidRPr="008029DC">
        <w:rPr>
          <w:lang w:val="en-IT"/>
        </w:rPr>
        <w:t xml:space="preserve">Roach Anleu, S., &amp; Mack, K. (2021). </w:t>
      </w:r>
      <w:r w:rsidRPr="008029DC">
        <w:rPr>
          <w:i/>
          <w:iCs/>
          <w:lang w:val="en-IT"/>
        </w:rPr>
        <w:t>Emotion and judging: A socio-legal analysis</w:t>
      </w:r>
      <w:r w:rsidRPr="008029DC">
        <w:rPr>
          <w:lang w:val="en-IT"/>
        </w:rPr>
        <w:t xml:space="preserve">. Routledge. </w:t>
      </w:r>
    </w:p>
    <w:p w14:paraId="5F8CEEAA" w14:textId="77777777" w:rsidR="008029DC" w:rsidRDefault="008029DC" w:rsidP="008029DC">
      <w:pPr>
        <w:pStyle w:val="Tabletitle"/>
        <w:spacing w:line="276" w:lineRule="auto"/>
        <w:jc w:val="both"/>
        <w:rPr>
          <w:lang w:val="en-IT"/>
        </w:rPr>
      </w:pPr>
      <w:r w:rsidRPr="008029DC">
        <w:rPr>
          <w:lang w:val="en-IT"/>
        </w:rPr>
        <w:t xml:space="preserve">Roberts, A., &amp; Ormerod, D. (2021). The full picture or too much information? Evidential use of body-worn camera recordings. </w:t>
      </w:r>
      <w:r w:rsidRPr="008029DC">
        <w:rPr>
          <w:i/>
          <w:iCs/>
          <w:lang w:val="en-IT"/>
        </w:rPr>
        <w:t>Criminal Law Review</w:t>
      </w:r>
      <w:r w:rsidRPr="008029DC">
        <w:rPr>
          <w:lang w:val="en-IT"/>
        </w:rPr>
        <w:t>, 620–643.</w:t>
      </w:r>
    </w:p>
    <w:p w14:paraId="02073F44" w14:textId="5032F0A3" w:rsidR="008029DC" w:rsidRDefault="008029DC" w:rsidP="008029DC">
      <w:pPr>
        <w:pStyle w:val="Tabletitle"/>
        <w:spacing w:line="276" w:lineRule="auto"/>
        <w:jc w:val="both"/>
        <w:rPr>
          <w:lang w:val="en-IT"/>
        </w:rPr>
      </w:pPr>
      <w:r w:rsidRPr="008029DC">
        <w:rPr>
          <w:lang w:val="en-IT"/>
        </w:rPr>
        <w:t>Salerno, J. M. (2021). The impact of experienced and expressed emotion on legal factfinding.</w:t>
      </w:r>
      <w:r>
        <w:rPr>
          <w:lang w:val="en-IT"/>
        </w:rPr>
        <w:t xml:space="preserve"> </w:t>
      </w:r>
      <w:r w:rsidRPr="008029DC">
        <w:rPr>
          <w:i/>
          <w:iCs/>
          <w:lang w:val="en-IT"/>
        </w:rPr>
        <w:t>Annual Review of Law and Social Science</w:t>
      </w:r>
      <w:r w:rsidRPr="008029DC">
        <w:rPr>
          <w:lang w:val="en-IT"/>
        </w:rPr>
        <w:t xml:space="preserve">, </w:t>
      </w:r>
      <w:r w:rsidRPr="008029DC">
        <w:rPr>
          <w:i/>
          <w:iCs/>
          <w:lang w:val="en-IT"/>
        </w:rPr>
        <w:t>17</w:t>
      </w:r>
      <w:r w:rsidRPr="008029DC">
        <w:rPr>
          <w:lang w:val="en-IT"/>
        </w:rPr>
        <w:t xml:space="preserve">(1), 181–203. </w:t>
      </w:r>
      <w:hyperlink r:id="rId23" w:history="1">
        <w:r w:rsidRPr="008029DC">
          <w:rPr>
            <w:rStyle w:val="Hyperlink"/>
            <w:lang w:val="en-IT"/>
          </w:rPr>
          <w:t>https://doi.org/10.1146/annurev-lawsocsci-021721-072326</w:t>
        </w:r>
      </w:hyperlink>
    </w:p>
    <w:p w14:paraId="301D416F" w14:textId="02D3BF0A" w:rsidR="008029DC" w:rsidRDefault="008029DC" w:rsidP="008029DC">
      <w:pPr>
        <w:pStyle w:val="Tabletitle"/>
        <w:spacing w:line="276" w:lineRule="auto"/>
        <w:jc w:val="both"/>
        <w:rPr>
          <w:lang w:val="en-IT"/>
        </w:rPr>
      </w:pPr>
      <w:r w:rsidRPr="008029DC">
        <w:rPr>
          <w:lang w:val="en-IT"/>
        </w:rPr>
        <w:t xml:space="preserve">Semmler, C., &amp; Brewer, N. (2002). Effects of mood and emotion on juror processing and judgments. </w:t>
      </w:r>
      <w:r w:rsidRPr="008029DC">
        <w:rPr>
          <w:i/>
          <w:iCs/>
          <w:lang w:val="en-IT"/>
        </w:rPr>
        <w:t>Behavioral Sciences &amp; the Law</w:t>
      </w:r>
      <w:r w:rsidRPr="008029DC">
        <w:rPr>
          <w:lang w:val="en-IT"/>
        </w:rPr>
        <w:t xml:space="preserve">, </w:t>
      </w:r>
      <w:r w:rsidRPr="008029DC">
        <w:rPr>
          <w:i/>
          <w:iCs/>
          <w:lang w:val="en-IT"/>
        </w:rPr>
        <w:t>20</w:t>
      </w:r>
      <w:r w:rsidRPr="008029DC">
        <w:rPr>
          <w:lang w:val="en-IT"/>
        </w:rPr>
        <w:t xml:space="preserve">(4), 423–436. </w:t>
      </w:r>
      <w:hyperlink r:id="rId24" w:history="1">
        <w:r w:rsidRPr="008029DC">
          <w:rPr>
            <w:rStyle w:val="Hyperlink"/>
            <w:lang w:val="en-IT"/>
          </w:rPr>
          <w:t>https://doi.org/10.1002/bsl.502</w:t>
        </w:r>
      </w:hyperlink>
    </w:p>
    <w:p w14:paraId="7F30BC69" w14:textId="145DB3A2" w:rsidR="008029DC" w:rsidRDefault="008029DC" w:rsidP="008029DC">
      <w:pPr>
        <w:pStyle w:val="Tabletitle"/>
        <w:spacing w:line="276" w:lineRule="auto"/>
        <w:jc w:val="both"/>
        <w:rPr>
          <w:lang w:val="en-IT"/>
        </w:rPr>
      </w:pPr>
      <w:r w:rsidRPr="008029DC">
        <w:rPr>
          <w:lang w:val="en-IT"/>
        </w:rPr>
        <w:t>Shields, S. A. (2005). The politics of emotion in everyday life: ‘Appropriate’ emotion and claims on</w:t>
      </w:r>
      <w:r>
        <w:rPr>
          <w:lang w:val="en-IT"/>
        </w:rPr>
        <w:t xml:space="preserve"> </w:t>
      </w:r>
      <w:r w:rsidRPr="008029DC">
        <w:rPr>
          <w:lang w:val="en-IT"/>
        </w:rPr>
        <w:t xml:space="preserve">identity. </w:t>
      </w:r>
      <w:r w:rsidRPr="008029DC">
        <w:rPr>
          <w:i/>
          <w:iCs/>
          <w:lang w:val="en-IT"/>
        </w:rPr>
        <w:t>Review of General Psychology</w:t>
      </w:r>
      <w:r w:rsidRPr="008029DC">
        <w:rPr>
          <w:lang w:val="en-IT"/>
        </w:rPr>
        <w:t xml:space="preserve">, </w:t>
      </w:r>
      <w:r w:rsidRPr="008029DC">
        <w:rPr>
          <w:i/>
          <w:iCs/>
          <w:lang w:val="en-IT"/>
        </w:rPr>
        <w:t>9</w:t>
      </w:r>
      <w:r w:rsidRPr="008029DC">
        <w:rPr>
          <w:lang w:val="en-IT"/>
        </w:rPr>
        <w:t xml:space="preserve">(1), 3–15. </w:t>
      </w:r>
      <w:hyperlink r:id="rId25" w:history="1">
        <w:r w:rsidRPr="008029DC">
          <w:rPr>
            <w:rStyle w:val="Hyperlink"/>
            <w:lang w:val="en-IT"/>
          </w:rPr>
          <w:t>https://doi.org/10.1037/1089-2680.9.1.3</w:t>
        </w:r>
      </w:hyperlink>
    </w:p>
    <w:p w14:paraId="387033C5" w14:textId="102EE492" w:rsidR="008029DC" w:rsidRDefault="008029DC" w:rsidP="008029DC">
      <w:pPr>
        <w:pStyle w:val="Tabletitle"/>
        <w:spacing w:line="276" w:lineRule="auto"/>
        <w:jc w:val="both"/>
        <w:rPr>
          <w:lang w:val="en-IT"/>
        </w:rPr>
      </w:pPr>
      <w:r w:rsidRPr="008029DC">
        <w:rPr>
          <w:lang w:val="en-IT"/>
        </w:rPr>
        <w:t xml:space="preserve">Simpson, H. (2024). The devil is in the detail: An evaluation of domestic violence evidence-in-chief in policing practice. </w:t>
      </w:r>
      <w:r w:rsidRPr="008029DC">
        <w:rPr>
          <w:i/>
          <w:iCs/>
          <w:lang w:val="en-IT"/>
        </w:rPr>
        <w:t>Current Issues in Criminal Justice</w:t>
      </w:r>
      <w:r w:rsidRPr="008029DC">
        <w:rPr>
          <w:lang w:val="en-IT"/>
        </w:rPr>
        <w:t xml:space="preserve">, 1–17. </w:t>
      </w:r>
      <w:hyperlink r:id="rId26" w:history="1">
        <w:r w:rsidRPr="008029DC">
          <w:rPr>
            <w:rStyle w:val="Hyperlink"/>
            <w:lang w:val="en-IT"/>
          </w:rPr>
          <w:t>https://doi.org/10.1080/10345329.2024.2369470</w:t>
        </w:r>
      </w:hyperlink>
    </w:p>
    <w:p w14:paraId="241C82C7" w14:textId="7D5A64B5" w:rsidR="008029DC" w:rsidRDefault="008029DC" w:rsidP="008029DC">
      <w:pPr>
        <w:pStyle w:val="Tabletitle"/>
        <w:spacing w:line="276" w:lineRule="auto"/>
        <w:jc w:val="both"/>
        <w:rPr>
          <w:lang w:val="en-IT"/>
        </w:rPr>
      </w:pPr>
      <w:r w:rsidRPr="008029DC">
        <w:rPr>
          <w:lang w:val="en-IT"/>
        </w:rPr>
        <w:t xml:space="preserve">Simpson, H. (2025). Authority reframed? Examining the potential of video-recorded evidence-in-chief as a mechanism for improving police accountability in domestic violence complainant interview-statements. </w:t>
      </w:r>
      <w:r w:rsidRPr="008029DC">
        <w:rPr>
          <w:i/>
          <w:iCs/>
          <w:lang w:val="en-IT"/>
        </w:rPr>
        <w:t>Current Issues in Criminal Justice</w:t>
      </w:r>
      <w:r w:rsidRPr="008029DC">
        <w:rPr>
          <w:lang w:val="en-IT"/>
        </w:rPr>
        <w:t xml:space="preserve">, </w:t>
      </w:r>
      <w:r w:rsidRPr="008029DC">
        <w:rPr>
          <w:i/>
          <w:iCs/>
          <w:lang w:val="en-IT"/>
        </w:rPr>
        <w:t>37</w:t>
      </w:r>
      <w:r w:rsidRPr="008029DC">
        <w:rPr>
          <w:lang w:val="en-IT"/>
        </w:rPr>
        <w:t xml:space="preserve">(4), 572–589. </w:t>
      </w:r>
      <w:hyperlink r:id="rId27" w:history="1">
        <w:r w:rsidRPr="008029DC">
          <w:rPr>
            <w:rStyle w:val="Hyperlink"/>
            <w:lang w:val="en-IT"/>
          </w:rPr>
          <w:t>https://doi.org/10. 1080/10345329.2025.2517943</w:t>
        </w:r>
      </w:hyperlink>
    </w:p>
    <w:p w14:paraId="486C4D2B" w14:textId="77777777" w:rsidR="008029DC" w:rsidRDefault="008029DC" w:rsidP="008029DC">
      <w:pPr>
        <w:pStyle w:val="Tabletitle"/>
        <w:spacing w:line="276" w:lineRule="auto"/>
        <w:jc w:val="both"/>
        <w:rPr>
          <w:lang w:val="en-IT"/>
        </w:rPr>
      </w:pPr>
      <w:r w:rsidRPr="008029DC">
        <w:rPr>
          <w:lang w:val="en-IT"/>
        </w:rPr>
        <w:t xml:space="preserve">Swig, D. L. (2010). </w:t>
      </w:r>
      <w:r w:rsidRPr="008029DC">
        <w:rPr>
          <w:i/>
          <w:iCs/>
          <w:lang w:val="en-IT"/>
        </w:rPr>
        <w:t>Domestic violence response: Video recording initial statements to increase pro- secution rates</w:t>
      </w:r>
      <w:r w:rsidRPr="008029DC">
        <w:rPr>
          <w:lang w:val="en-IT"/>
        </w:rPr>
        <w:t xml:space="preserve">. California Commission on Peace Officer Standards and Training. </w:t>
      </w:r>
    </w:p>
    <w:p w14:paraId="52F73A0F" w14:textId="701B80B9" w:rsidR="008029DC" w:rsidRDefault="008029DC" w:rsidP="008029DC">
      <w:pPr>
        <w:pStyle w:val="Tabletitle"/>
        <w:spacing w:line="276" w:lineRule="auto"/>
        <w:jc w:val="both"/>
        <w:rPr>
          <w:lang w:val="en-IT"/>
        </w:rPr>
      </w:pPr>
      <w:r w:rsidRPr="008029DC">
        <w:rPr>
          <w:lang w:val="en-IT"/>
        </w:rPr>
        <w:t xml:space="preserve">van Doorn, J., Hoek, D., &amp; van Wingerden, S. (2025). Gore, gut feelings, and guilt: A systematic review on the emotional impact of gruesome evidence on guilt decisions. </w:t>
      </w:r>
      <w:r w:rsidRPr="008029DC">
        <w:rPr>
          <w:i/>
          <w:iCs/>
          <w:lang w:val="en-IT"/>
        </w:rPr>
        <w:t>Psychology, Crime &amp; Law</w:t>
      </w:r>
      <w:r w:rsidRPr="008029DC">
        <w:rPr>
          <w:lang w:val="en-IT"/>
        </w:rPr>
        <w:t xml:space="preserve">, 1–21. </w:t>
      </w:r>
      <w:hyperlink r:id="rId28" w:history="1">
        <w:r w:rsidRPr="008029DC">
          <w:rPr>
            <w:rStyle w:val="Hyperlink"/>
            <w:lang w:val="en-IT"/>
          </w:rPr>
          <w:t>https://doi.org/10.1080/1068316X.2025.2487189</w:t>
        </w:r>
      </w:hyperlink>
    </w:p>
    <w:p w14:paraId="5B7322BA" w14:textId="521056C0" w:rsidR="008029DC" w:rsidRDefault="008029DC" w:rsidP="008029DC">
      <w:pPr>
        <w:pStyle w:val="Tabletitle"/>
        <w:spacing w:line="276" w:lineRule="auto"/>
        <w:jc w:val="both"/>
        <w:rPr>
          <w:lang w:val="en-IT"/>
        </w:rPr>
      </w:pPr>
      <w:r w:rsidRPr="008029DC">
        <w:rPr>
          <w:lang w:val="en-IT"/>
        </w:rPr>
        <w:t xml:space="preserve">van Doorn, J., &amp; Koster, N. N. (2019). Emotional victims and the impact on credibility: A systema- tic review. </w:t>
      </w:r>
      <w:r w:rsidRPr="008029DC">
        <w:rPr>
          <w:i/>
          <w:iCs/>
          <w:lang w:val="en-IT"/>
        </w:rPr>
        <w:t>Aggression and Violent Behavior</w:t>
      </w:r>
      <w:r w:rsidRPr="008029DC">
        <w:rPr>
          <w:lang w:val="en-IT"/>
        </w:rPr>
        <w:t xml:space="preserve">, </w:t>
      </w:r>
      <w:r w:rsidRPr="008029DC">
        <w:rPr>
          <w:i/>
          <w:iCs/>
          <w:lang w:val="en-IT"/>
        </w:rPr>
        <w:t>47</w:t>
      </w:r>
      <w:r w:rsidRPr="008029DC">
        <w:rPr>
          <w:lang w:val="en-IT"/>
        </w:rPr>
        <w:t xml:space="preserve">, 74–89. </w:t>
      </w:r>
      <w:hyperlink r:id="rId29" w:history="1">
        <w:r w:rsidRPr="008029DC">
          <w:rPr>
            <w:rStyle w:val="Hyperlink"/>
            <w:lang w:val="en-IT"/>
          </w:rPr>
          <w:t>https://doi.org/10.1016/j.avb.2019.03.007</w:t>
        </w:r>
      </w:hyperlink>
    </w:p>
    <w:p w14:paraId="45B8FD63" w14:textId="310BDD0D" w:rsidR="008029DC" w:rsidRDefault="008029DC" w:rsidP="008029DC">
      <w:pPr>
        <w:pStyle w:val="Tabletitle"/>
        <w:spacing w:line="276" w:lineRule="auto"/>
        <w:jc w:val="both"/>
        <w:rPr>
          <w:lang w:val="en-IT"/>
        </w:rPr>
      </w:pPr>
      <w:r w:rsidRPr="008029DC">
        <w:rPr>
          <w:lang w:val="en-IT"/>
        </w:rPr>
        <w:t xml:space="preserve">Walton, D., Brooks, R., &amp; Li, J. (2021). The use of victim video statements in family violence cases increases the rate of early guilty pleas. </w:t>
      </w:r>
      <w:r w:rsidRPr="008029DC">
        <w:rPr>
          <w:i/>
          <w:iCs/>
          <w:lang w:val="en-IT"/>
        </w:rPr>
        <w:t>Journal of Interpersonal Violence</w:t>
      </w:r>
      <w:r w:rsidRPr="008029DC">
        <w:rPr>
          <w:lang w:val="en-IT"/>
        </w:rPr>
        <w:t xml:space="preserve">, </w:t>
      </w:r>
      <w:r w:rsidRPr="008029DC">
        <w:rPr>
          <w:i/>
          <w:iCs/>
          <w:lang w:val="en-IT"/>
        </w:rPr>
        <w:t>36</w:t>
      </w:r>
      <w:r w:rsidRPr="008029DC">
        <w:rPr>
          <w:lang w:val="en-IT"/>
        </w:rPr>
        <w:t>(11–12), 6098–6116.</w:t>
      </w:r>
      <w:r>
        <w:rPr>
          <w:lang w:val="en-IT"/>
        </w:rPr>
        <w:t xml:space="preserve"> </w:t>
      </w:r>
      <w:hyperlink r:id="rId30" w:history="1">
        <w:r w:rsidRPr="008029DC">
          <w:rPr>
            <w:rStyle w:val="Hyperlink"/>
            <w:lang w:val="en-IT"/>
          </w:rPr>
          <w:t>https://doi.org/10.1177/0886260518817065</w:t>
        </w:r>
      </w:hyperlink>
    </w:p>
    <w:p w14:paraId="5A032914" w14:textId="64987A60" w:rsidR="008029DC" w:rsidRDefault="008029DC" w:rsidP="008029DC">
      <w:pPr>
        <w:pStyle w:val="Tabletitle"/>
        <w:spacing w:line="276" w:lineRule="auto"/>
        <w:jc w:val="both"/>
        <w:rPr>
          <w:lang w:val="en-IT"/>
        </w:rPr>
      </w:pPr>
      <w:r w:rsidRPr="008029DC">
        <w:rPr>
          <w:lang w:val="en-IT"/>
        </w:rPr>
        <w:t xml:space="preserve">Wessel, E., Drevland, G. C., Eilertsen, D. E., &amp; Magnussen, S. (2006). Credibility of the emotional witness: A study of ratings by court judges. </w:t>
      </w:r>
      <w:r w:rsidRPr="008029DC">
        <w:rPr>
          <w:i/>
          <w:iCs/>
          <w:lang w:val="en-IT"/>
        </w:rPr>
        <w:t>Law and Human Behavior</w:t>
      </w:r>
      <w:r w:rsidRPr="008029DC">
        <w:rPr>
          <w:lang w:val="en-IT"/>
        </w:rPr>
        <w:t xml:space="preserve">, </w:t>
      </w:r>
      <w:r w:rsidRPr="008029DC">
        <w:rPr>
          <w:i/>
          <w:iCs/>
          <w:lang w:val="en-IT"/>
        </w:rPr>
        <w:t>30</w:t>
      </w:r>
      <w:r w:rsidRPr="008029DC">
        <w:rPr>
          <w:lang w:val="en-IT"/>
        </w:rPr>
        <w:t xml:space="preserve">(2), 221–230. </w:t>
      </w:r>
      <w:hyperlink r:id="rId31" w:history="1">
        <w:r w:rsidRPr="008029DC">
          <w:rPr>
            <w:rStyle w:val="Hyperlink"/>
            <w:lang w:val="en-IT"/>
          </w:rPr>
          <w:t>https://doi.org/10.1007/s10979-006-9024-1</w:t>
        </w:r>
      </w:hyperlink>
    </w:p>
    <w:p w14:paraId="66F17011" w14:textId="2FCAD11F" w:rsidR="008029DC" w:rsidRDefault="008029DC" w:rsidP="008029DC">
      <w:pPr>
        <w:pStyle w:val="Tabletitle"/>
        <w:spacing w:line="276" w:lineRule="auto"/>
        <w:jc w:val="both"/>
        <w:rPr>
          <w:lang w:val="en-IT"/>
        </w:rPr>
      </w:pPr>
      <w:r w:rsidRPr="008029DC">
        <w:rPr>
          <w:lang w:val="en-IT"/>
        </w:rPr>
        <w:t xml:space="preserve">Westera, N. J., &amp; Powell, M. B. (2015). Prosecutors’ perceptions of how to improve the quality of evidence in domestic violence cases. </w:t>
      </w:r>
      <w:r w:rsidRPr="008029DC">
        <w:rPr>
          <w:i/>
          <w:iCs/>
          <w:lang w:val="en-IT"/>
        </w:rPr>
        <w:t>Policing and Society</w:t>
      </w:r>
      <w:r w:rsidRPr="008029DC">
        <w:rPr>
          <w:lang w:val="en-IT"/>
        </w:rPr>
        <w:t xml:space="preserve">, </w:t>
      </w:r>
      <w:r w:rsidRPr="008029DC">
        <w:rPr>
          <w:i/>
          <w:iCs/>
          <w:lang w:val="en-IT"/>
        </w:rPr>
        <w:t>27</w:t>
      </w:r>
      <w:r w:rsidRPr="008029DC">
        <w:rPr>
          <w:lang w:val="en-IT"/>
        </w:rPr>
        <w:t xml:space="preserve">(2), 157–172. </w:t>
      </w:r>
      <w:hyperlink r:id="rId32" w:history="1">
        <w:r w:rsidRPr="008029DC">
          <w:rPr>
            <w:rStyle w:val="Hyperlink"/>
            <w:lang w:val="en-IT"/>
          </w:rPr>
          <w:t>https://doi.org/10.1080/10439463.2015.1039002</w:t>
        </w:r>
      </w:hyperlink>
    </w:p>
    <w:p w14:paraId="65E87F22" w14:textId="189C3ADA" w:rsidR="008029DC" w:rsidRDefault="008029DC" w:rsidP="008029DC">
      <w:pPr>
        <w:pStyle w:val="Tabletitle"/>
        <w:spacing w:line="276" w:lineRule="auto"/>
        <w:jc w:val="both"/>
        <w:rPr>
          <w:lang w:val="en-IT"/>
        </w:rPr>
      </w:pPr>
      <w:r w:rsidRPr="008029DC">
        <w:rPr>
          <w:lang w:val="en-IT"/>
        </w:rPr>
        <w:t>Wrede, O., &amp; Ask, K. (2015). More than a feeling: Public expectations about emotional responses</w:t>
      </w:r>
      <w:r>
        <w:rPr>
          <w:lang w:val="en-IT"/>
        </w:rPr>
        <w:t xml:space="preserve"> </w:t>
      </w:r>
      <w:r w:rsidRPr="008029DC">
        <w:rPr>
          <w:lang w:val="en-IT"/>
        </w:rPr>
        <w:t xml:space="preserve">to criminal victimization. </w:t>
      </w:r>
      <w:r w:rsidRPr="008029DC">
        <w:rPr>
          <w:i/>
          <w:iCs/>
          <w:lang w:val="en-IT"/>
        </w:rPr>
        <w:t>Violence and Victims</w:t>
      </w:r>
      <w:r w:rsidRPr="008029DC">
        <w:rPr>
          <w:lang w:val="en-IT"/>
        </w:rPr>
        <w:t xml:space="preserve">, </w:t>
      </w:r>
      <w:r w:rsidRPr="008029DC">
        <w:rPr>
          <w:i/>
          <w:iCs/>
          <w:lang w:val="en-IT"/>
        </w:rPr>
        <w:t>30</w:t>
      </w:r>
      <w:r w:rsidRPr="008029DC">
        <w:rPr>
          <w:lang w:val="en-IT"/>
        </w:rPr>
        <w:t xml:space="preserve">(5), 902–915. </w:t>
      </w:r>
      <w:hyperlink r:id="rId33" w:history="1">
        <w:r w:rsidRPr="008029DC">
          <w:rPr>
            <w:rStyle w:val="Hyperlink"/>
            <w:lang w:val="en-IT"/>
          </w:rPr>
          <w:t>https://doi.org/10.1891/0886-6708.VV-D-14-00002</w:t>
        </w:r>
      </w:hyperlink>
    </w:p>
    <w:p w14:paraId="5057F785" w14:textId="77777777" w:rsidR="008029DC" w:rsidRDefault="008029DC" w:rsidP="008029DC">
      <w:pPr>
        <w:pStyle w:val="Tabletitle"/>
        <w:spacing w:line="276" w:lineRule="auto"/>
        <w:jc w:val="both"/>
        <w:rPr>
          <w:lang w:val="en-IT"/>
        </w:rPr>
      </w:pPr>
      <w:r w:rsidRPr="008029DC">
        <w:rPr>
          <w:lang w:val="en-IT"/>
        </w:rPr>
        <w:t xml:space="preserve">Yeong, S. S., &amp; Poynton, S. (2022). </w:t>
      </w:r>
      <w:r w:rsidRPr="008029DC">
        <w:rPr>
          <w:i/>
          <w:iCs/>
          <w:lang w:val="en-IT"/>
        </w:rPr>
        <w:t>Evaluation of the 2015 domestic violence evidence-in-chief</w:t>
      </w:r>
      <w:r>
        <w:rPr>
          <w:i/>
          <w:iCs/>
          <w:lang w:val="en-IT"/>
        </w:rPr>
        <w:t xml:space="preserve"> </w:t>
      </w:r>
      <w:r w:rsidRPr="008029DC">
        <w:rPr>
          <w:i/>
          <w:iCs/>
          <w:lang w:val="en-IT"/>
        </w:rPr>
        <w:t>(DVEC) reforms</w:t>
      </w:r>
      <w:r w:rsidRPr="008029DC">
        <w:rPr>
          <w:lang w:val="en-IT"/>
        </w:rPr>
        <w:t>.</w:t>
      </w:r>
      <w:r>
        <w:rPr>
          <w:lang w:val="en-IT"/>
        </w:rPr>
        <w:t xml:space="preserve"> </w:t>
      </w:r>
      <w:r w:rsidRPr="008029DC">
        <w:rPr>
          <w:lang w:val="en-IT"/>
        </w:rPr>
        <w:t>BOSCAR.</w:t>
      </w:r>
    </w:p>
    <w:p w14:paraId="386FCA98" w14:textId="56984624" w:rsidR="00645E1A" w:rsidRPr="008029DC" w:rsidRDefault="008029DC" w:rsidP="008029DC">
      <w:pPr>
        <w:pStyle w:val="Tabletitle"/>
        <w:spacing w:line="276" w:lineRule="auto"/>
        <w:jc w:val="both"/>
      </w:pPr>
      <w:r w:rsidRPr="008029DC">
        <w:rPr>
          <w:lang w:val="en-IT"/>
        </w:rPr>
        <w:t xml:space="preserve">Yeong, S. S., &amp; Poynton, S. (2023). Can pre-recorded evidence raise conviction rates in cases of domestic violence? </w:t>
      </w:r>
      <w:r w:rsidRPr="008029DC">
        <w:rPr>
          <w:i/>
          <w:iCs/>
          <w:lang w:val="en-IT"/>
        </w:rPr>
        <w:t>Australian Economic Review</w:t>
      </w:r>
      <w:r w:rsidRPr="008029DC">
        <w:rPr>
          <w:lang w:val="en-IT"/>
        </w:rPr>
        <w:t xml:space="preserve">, </w:t>
      </w:r>
      <w:r w:rsidRPr="008029DC">
        <w:rPr>
          <w:i/>
          <w:iCs/>
          <w:lang w:val="en-IT"/>
        </w:rPr>
        <w:t>56</w:t>
      </w:r>
      <w:r w:rsidRPr="008029DC">
        <w:rPr>
          <w:lang w:val="en-IT"/>
        </w:rPr>
        <w:t xml:space="preserve">(4), 494–496. </w:t>
      </w:r>
      <w:hyperlink r:id="rId34" w:history="1">
        <w:r w:rsidRPr="00973524">
          <w:rPr>
            <w:rStyle w:val="Hyperlink"/>
          </w:rPr>
          <w:t>https://doi.org/10.1111/1467-8462.12525</w:t>
        </w:r>
      </w:hyperlink>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webkit-standard">
    <w:altName w:val="Cambria"/>
    <w:panose1 w:val="020B0604020202020204"/>
    <w:charset w:val="00"/>
    <w:family w:val="roman"/>
    <w:pitch w:val="default"/>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899434745"/>
      <w:docPartObj>
        <w:docPartGallery w:val="Page Numbers (Bottom of Page)"/>
        <w:docPartUnique/>
      </w:docPartObj>
    </w:sdtPr>
    <w:sdtContent>
      <w:p w14:paraId="697B58A3" w14:textId="0C667191" w:rsidR="00AA5AD8" w:rsidRDefault="00AA5AD8" w:rsidP="003310A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fldChar w:fldCharType="end"/>
        </w:r>
      </w:p>
    </w:sdtContent>
  </w:sdt>
  <w:p w14:paraId="5B038E0A" w14:textId="77777777" w:rsidR="002211DD" w:rsidRDefault="002211DD" w:rsidP="00AA5AD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782961985"/>
      <w:docPartObj>
        <w:docPartGallery w:val="Page Numbers (Bottom of Page)"/>
        <w:docPartUnique/>
      </w:docPartObj>
    </w:sdtPr>
    <w:sdtContent>
      <w:p w14:paraId="45420A69" w14:textId="7BDB21E3" w:rsidR="00AA5AD8" w:rsidRDefault="00AA5AD8" w:rsidP="003310A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11</w:t>
        </w:r>
        <w:r>
          <w:rPr>
            <w:rStyle w:val="PageNumber"/>
          </w:rPr>
          <w:fldChar w:fldCharType="end"/>
        </w:r>
      </w:p>
    </w:sdtContent>
  </w:sdt>
  <w:p w14:paraId="17F24938" w14:textId="77777777" w:rsidR="002211DD" w:rsidRDefault="002211DD" w:rsidP="00AA5AD8">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00D11D" w14:textId="77777777" w:rsidR="00CD699E" w:rsidRDefault="00CD699E" w:rsidP="00AF2C92">
      <w:r>
        <w:separator/>
      </w:r>
    </w:p>
  </w:footnote>
  <w:footnote w:type="continuationSeparator" w:id="0">
    <w:p w14:paraId="13957BA2" w14:textId="77777777" w:rsidR="00CD699E" w:rsidRDefault="00CD699E" w:rsidP="00AF2C9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1FECAF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C74E2D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E8F228E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A274B1E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472E25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21D351A5"/>
    <w:multiLevelType w:val="multilevel"/>
    <w:tmpl w:val="F3687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7" w15:restartNumberingAfterBreak="0">
    <w:nsid w:val="29137128"/>
    <w:multiLevelType w:val="multilevel"/>
    <w:tmpl w:val="AEF454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3DDC5911"/>
    <w:multiLevelType w:val="multilevel"/>
    <w:tmpl w:val="76088F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729036846">
    <w:abstractNumId w:val="16"/>
  </w:num>
  <w:num w:numId="2" w16cid:durableId="204757536">
    <w:abstractNumId w:val="22"/>
  </w:num>
  <w:num w:numId="3" w16cid:durableId="1253778460">
    <w:abstractNumId w:val="1"/>
  </w:num>
  <w:num w:numId="4" w16cid:durableId="1257712864">
    <w:abstractNumId w:val="2"/>
  </w:num>
  <w:num w:numId="5" w16cid:durableId="427045156">
    <w:abstractNumId w:val="3"/>
  </w:num>
  <w:num w:numId="6" w16cid:durableId="328677416">
    <w:abstractNumId w:val="4"/>
  </w:num>
  <w:num w:numId="7" w16cid:durableId="503785819">
    <w:abstractNumId w:val="9"/>
  </w:num>
  <w:num w:numId="8" w16cid:durableId="1659118268">
    <w:abstractNumId w:val="5"/>
  </w:num>
  <w:num w:numId="9" w16cid:durableId="338627970">
    <w:abstractNumId w:val="7"/>
  </w:num>
  <w:num w:numId="10" w16cid:durableId="1113941131">
    <w:abstractNumId w:val="6"/>
  </w:num>
  <w:num w:numId="11" w16cid:durableId="577253976">
    <w:abstractNumId w:val="10"/>
  </w:num>
  <w:num w:numId="12" w16cid:durableId="1969236462">
    <w:abstractNumId w:val="8"/>
  </w:num>
  <w:num w:numId="13" w16cid:durableId="172306317">
    <w:abstractNumId w:val="19"/>
  </w:num>
  <w:num w:numId="14" w16cid:durableId="199632374">
    <w:abstractNumId w:val="23"/>
  </w:num>
  <w:num w:numId="15" w16cid:durableId="1306468915">
    <w:abstractNumId w:val="14"/>
  </w:num>
  <w:num w:numId="16" w16cid:durableId="1966303785">
    <w:abstractNumId w:val="18"/>
  </w:num>
  <w:num w:numId="17" w16cid:durableId="1691226182">
    <w:abstractNumId w:val="11"/>
  </w:num>
  <w:num w:numId="18" w16cid:durableId="433862599">
    <w:abstractNumId w:val="0"/>
  </w:num>
  <w:num w:numId="19" w16cid:durableId="1459641123">
    <w:abstractNumId w:val="12"/>
  </w:num>
  <w:num w:numId="20" w16cid:durableId="272058268">
    <w:abstractNumId w:val="23"/>
  </w:num>
  <w:num w:numId="21" w16cid:durableId="1168131335">
    <w:abstractNumId w:val="23"/>
  </w:num>
  <w:num w:numId="22" w16cid:durableId="1123158726">
    <w:abstractNumId w:val="23"/>
  </w:num>
  <w:num w:numId="23" w16cid:durableId="1470322818">
    <w:abstractNumId w:val="23"/>
  </w:num>
  <w:num w:numId="24" w16cid:durableId="605699460">
    <w:abstractNumId w:val="19"/>
  </w:num>
  <w:num w:numId="25" w16cid:durableId="1665744700">
    <w:abstractNumId w:val="20"/>
  </w:num>
  <w:num w:numId="26" w16cid:durableId="1034112593">
    <w:abstractNumId w:val="24"/>
  </w:num>
  <w:num w:numId="27" w16cid:durableId="1532262951">
    <w:abstractNumId w:val="25"/>
  </w:num>
  <w:num w:numId="28" w16cid:durableId="2080901745">
    <w:abstractNumId w:val="23"/>
  </w:num>
  <w:num w:numId="29" w16cid:durableId="290982698">
    <w:abstractNumId w:val="13"/>
  </w:num>
  <w:num w:numId="30" w16cid:durableId="49545931">
    <w:abstractNumId w:val="26"/>
  </w:num>
  <w:num w:numId="31" w16cid:durableId="1451624416">
    <w:abstractNumId w:val="21"/>
  </w:num>
  <w:num w:numId="32" w16cid:durableId="419957583">
    <w:abstractNumId w:val="17"/>
  </w:num>
  <w:num w:numId="33" w16cid:durableId="208668142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3"/>
  <w:removePersonalInformation/>
  <w:removeDateAndTime/>
  <w:proofState w:spelling="clean" w:grammar="clean"/>
  <w:attachedTemplate r:id="rId1"/>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90D40"/>
    <w:rsid w:val="00000148"/>
    <w:rsid w:val="00001899"/>
    <w:rsid w:val="000024F7"/>
    <w:rsid w:val="00004406"/>
    <w:rsid w:val="000049AD"/>
    <w:rsid w:val="0000681B"/>
    <w:rsid w:val="0000699B"/>
    <w:rsid w:val="0001001D"/>
    <w:rsid w:val="00010B47"/>
    <w:rsid w:val="000125D0"/>
    <w:rsid w:val="000133C0"/>
    <w:rsid w:val="00014C4E"/>
    <w:rsid w:val="00016395"/>
    <w:rsid w:val="00016B98"/>
    <w:rsid w:val="00017107"/>
    <w:rsid w:val="000202E2"/>
    <w:rsid w:val="00021C50"/>
    <w:rsid w:val="00022441"/>
    <w:rsid w:val="0002261E"/>
    <w:rsid w:val="00024839"/>
    <w:rsid w:val="00026871"/>
    <w:rsid w:val="00026D6B"/>
    <w:rsid w:val="00027AD8"/>
    <w:rsid w:val="00027AF0"/>
    <w:rsid w:val="000302F7"/>
    <w:rsid w:val="000318DC"/>
    <w:rsid w:val="00032238"/>
    <w:rsid w:val="00035180"/>
    <w:rsid w:val="00035E37"/>
    <w:rsid w:val="00036DC9"/>
    <w:rsid w:val="000378C3"/>
    <w:rsid w:val="00037A98"/>
    <w:rsid w:val="000426A4"/>
    <w:rsid w:val="000427FB"/>
    <w:rsid w:val="0004399A"/>
    <w:rsid w:val="0004455E"/>
    <w:rsid w:val="000478BA"/>
    <w:rsid w:val="00047A9D"/>
    <w:rsid w:val="00047CB5"/>
    <w:rsid w:val="00051FAA"/>
    <w:rsid w:val="0005315A"/>
    <w:rsid w:val="00054513"/>
    <w:rsid w:val="000572A9"/>
    <w:rsid w:val="0005772E"/>
    <w:rsid w:val="00060E93"/>
    <w:rsid w:val="00061325"/>
    <w:rsid w:val="0006290E"/>
    <w:rsid w:val="00062A60"/>
    <w:rsid w:val="00063A05"/>
    <w:rsid w:val="00064C95"/>
    <w:rsid w:val="00065550"/>
    <w:rsid w:val="00067F54"/>
    <w:rsid w:val="00071344"/>
    <w:rsid w:val="0007213C"/>
    <w:rsid w:val="000733AC"/>
    <w:rsid w:val="00074B81"/>
    <w:rsid w:val="00074D22"/>
    <w:rsid w:val="00075081"/>
    <w:rsid w:val="00075285"/>
    <w:rsid w:val="0007528A"/>
    <w:rsid w:val="000811AB"/>
    <w:rsid w:val="000834D0"/>
    <w:rsid w:val="00083876"/>
    <w:rsid w:val="00083C5F"/>
    <w:rsid w:val="0008486E"/>
    <w:rsid w:val="000854C3"/>
    <w:rsid w:val="00087285"/>
    <w:rsid w:val="00087434"/>
    <w:rsid w:val="00090C0D"/>
    <w:rsid w:val="0009172C"/>
    <w:rsid w:val="000930EC"/>
    <w:rsid w:val="000957D3"/>
    <w:rsid w:val="00095E61"/>
    <w:rsid w:val="000966C1"/>
    <w:rsid w:val="000970AC"/>
    <w:rsid w:val="00097622"/>
    <w:rsid w:val="0009799C"/>
    <w:rsid w:val="000A06B9"/>
    <w:rsid w:val="000A0F5E"/>
    <w:rsid w:val="000A1167"/>
    <w:rsid w:val="000A22A3"/>
    <w:rsid w:val="000A4428"/>
    <w:rsid w:val="000A5CA7"/>
    <w:rsid w:val="000A5D66"/>
    <w:rsid w:val="000A6D40"/>
    <w:rsid w:val="000A7236"/>
    <w:rsid w:val="000A7BC3"/>
    <w:rsid w:val="000B097D"/>
    <w:rsid w:val="000B1661"/>
    <w:rsid w:val="000B1F0B"/>
    <w:rsid w:val="000B2249"/>
    <w:rsid w:val="000B2626"/>
    <w:rsid w:val="000B2E88"/>
    <w:rsid w:val="000B4603"/>
    <w:rsid w:val="000B6ADB"/>
    <w:rsid w:val="000B78D1"/>
    <w:rsid w:val="000C09B2"/>
    <w:rsid w:val="000C09BE"/>
    <w:rsid w:val="000C1380"/>
    <w:rsid w:val="000C1817"/>
    <w:rsid w:val="000C2987"/>
    <w:rsid w:val="000C44AF"/>
    <w:rsid w:val="000C554F"/>
    <w:rsid w:val="000C572D"/>
    <w:rsid w:val="000C6832"/>
    <w:rsid w:val="000D0DC5"/>
    <w:rsid w:val="000D15FF"/>
    <w:rsid w:val="000D28DF"/>
    <w:rsid w:val="000D488B"/>
    <w:rsid w:val="000D68DF"/>
    <w:rsid w:val="000E02EE"/>
    <w:rsid w:val="000E0BB4"/>
    <w:rsid w:val="000E138D"/>
    <w:rsid w:val="000E187A"/>
    <w:rsid w:val="000E2D61"/>
    <w:rsid w:val="000E450E"/>
    <w:rsid w:val="000E45C8"/>
    <w:rsid w:val="000E6259"/>
    <w:rsid w:val="000F06FD"/>
    <w:rsid w:val="000F07EA"/>
    <w:rsid w:val="000F3464"/>
    <w:rsid w:val="000F4677"/>
    <w:rsid w:val="000F5BE0"/>
    <w:rsid w:val="00100587"/>
    <w:rsid w:val="00100BAF"/>
    <w:rsid w:val="001014DF"/>
    <w:rsid w:val="0010284E"/>
    <w:rsid w:val="00103122"/>
    <w:rsid w:val="0010336A"/>
    <w:rsid w:val="00103793"/>
    <w:rsid w:val="00104104"/>
    <w:rsid w:val="001050F1"/>
    <w:rsid w:val="00105629"/>
    <w:rsid w:val="00105AEA"/>
    <w:rsid w:val="00105F8B"/>
    <w:rsid w:val="00106D80"/>
    <w:rsid w:val="00106DAF"/>
    <w:rsid w:val="001106A6"/>
    <w:rsid w:val="00110DA0"/>
    <w:rsid w:val="00112EFD"/>
    <w:rsid w:val="00113541"/>
    <w:rsid w:val="00114ABE"/>
    <w:rsid w:val="00115B1E"/>
    <w:rsid w:val="00116023"/>
    <w:rsid w:val="00121A5A"/>
    <w:rsid w:val="001232B0"/>
    <w:rsid w:val="00123734"/>
    <w:rsid w:val="00124705"/>
    <w:rsid w:val="00131C36"/>
    <w:rsid w:val="001326F8"/>
    <w:rsid w:val="001339C2"/>
    <w:rsid w:val="00134A51"/>
    <w:rsid w:val="00134D5F"/>
    <w:rsid w:val="00136A6A"/>
    <w:rsid w:val="00140727"/>
    <w:rsid w:val="0014142D"/>
    <w:rsid w:val="001445AB"/>
    <w:rsid w:val="001463A1"/>
    <w:rsid w:val="001471FD"/>
    <w:rsid w:val="00152FCA"/>
    <w:rsid w:val="001530DC"/>
    <w:rsid w:val="001544AF"/>
    <w:rsid w:val="00154509"/>
    <w:rsid w:val="001552AF"/>
    <w:rsid w:val="00155CF9"/>
    <w:rsid w:val="00160628"/>
    <w:rsid w:val="00161344"/>
    <w:rsid w:val="00162195"/>
    <w:rsid w:val="0016232D"/>
    <w:rsid w:val="0016322A"/>
    <w:rsid w:val="00165974"/>
    <w:rsid w:val="00165A21"/>
    <w:rsid w:val="00165B9B"/>
    <w:rsid w:val="00166A6B"/>
    <w:rsid w:val="001705CE"/>
    <w:rsid w:val="001717DC"/>
    <w:rsid w:val="00171DE1"/>
    <w:rsid w:val="00174854"/>
    <w:rsid w:val="00174AE6"/>
    <w:rsid w:val="0017714B"/>
    <w:rsid w:val="0017725F"/>
    <w:rsid w:val="001804DF"/>
    <w:rsid w:val="001809B5"/>
    <w:rsid w:val="00181BDC"/>
    <w:rsid w:val="00181DB0"/>
    <w:rsid w:val="001829E3"/>
    <w:rsid w:val="00183BA9"/>
    <w:rsid w:val="001846A3"/>
    <w:rsid w:val="0018575B"/>
    <w:rsid w:val="00187849"/>
    <w:rsid w:val="00190D40"/>
    <w:rsid w:val="001924C0"/>
    <w:rsid w:val="0019493D"/>
    <w:rsid w:val="001967E9"/>
    <w:rsid w:val="0019731E"/>
    <w:rsid w:val="001A09FE"/>
    <w:rsid w:val="001A1F13"/>
    <w:rsid w:val="001A2CF4"/>
    <w:rsid w:val="001A2FDE"/>
    <w:rsid w:val="001A3269"/>
    <w:rsid w:val="001A46C7"/>
    <w:rsid w:val="001A67C9"/>
    <w:rsid w:val="001A69DE"/>
    <w:rsid w:val="001A713C"/>
    <w:rsid w:val="001B1305"/>
    <w:rsid w:val="001B1C7C"/>
    <w:rsid w:val="001B202B"/>
    <w:rsid w:val="001B398F"/>
    <w:rsid w:val="001B46C6"/>
    <w:rsid w:val="001B4B48"/>
    <w:rsid w:val="001B4D1F"/>
    <w:rsid w:val="001B5739"/>
    <w:rsid w:val="001B72FC"/>
    <w:rsid w:val="001B7681"/>
    <w:rsid w:val="001B7CAE"/>
    <w:rsid w:val="001C0772"/>
    <w:rsid w:val="001C0D4F"/>
    <w:rsid w:val="001C1BA3"/>
    <w:rsid w:val="001C1DEC"/>
    <w:rsid w:val="001C262E"/>
    <w:rsid w:val="001C5736"/>
    <w:rsid w:val="001D2016"/>
    <w:rsid w:val="001D4499"/>
    <w:rsid w:val="001D49F6"/>
    <w:rsid w:val="001D5DDC"/>
    <w:rsid w:val="001D647F"/>
    <w:rsid w:val="001D6857"/>
    <w:rsid w:val="001D75D7"/>
    <w:rsid w:val="001E0572"/>
    <w:rsid w:val="001E0A67"/>
    <w:rsid w:val="001E1028"/>
    <w:rsid w:val="001E14E2"/>
    <w:rsid w:val="001E1CC6"/>
    <w:rsid w:val="001E59C3"/>
    <w:rsid w:val="001E6302"/>
    <w:rsid w:val="001E64A6"/>
    <w:rsid w:val="001E74B0"/>
    <w:rsid w:val="001E7AFD"/>
    <w:rsid w:val="001E7DCB"/>
    <w:rsid w:val="001F02BD"/>
    <w:rsid w:val="001F0A31"/>
    <w:rsid w:val="001F1EED"/>
    <w:rsid w:val="001F3411"/>
    <w:rsid w:val="001F423F"/>
    <w:rsid w:val="001F4287"/>
    <w:rsid w:val="001F4DBA"/>
    <w:rsid w:val="001F5469"/>
    <w:rsid w:val="001F7860"/>
    <w:rsid w:val="001F7EFF"/>
    <w:rsid w:val="002004FF"/>
    <w:rsid w:val="002010F8"/>
    <w:rsid w:val="00203388"/>
    <w:rsid w:val="00203A9B"/>
    <w:rsid w:val="0020415E"/>
    <w:rsid w:val="00204FF4"/>
    <w:rsid w:val="002055A2"/>
    <w:rsid w:val="002056EE"/>
    <w:rsid w:val="00205B68"/>
    <w:rsid w:val="0021056E"/>
    <w:rsid w:val="0021075D"/>
    <w:rsid w:val="0021165A"/>
    <w:rsid w:val="00211BC9"/>
    <w:rsid w:val="00212279"/>
    <w:rsid w:val="00213585"/>
    <w:rsid w:val="00215502"/>
    <w:rsid w:val="0021605E"/>
    <w:rsid w:val="0021620C"/>
    <w:rsid w:val="00216E78"/>
    <w:rsid w:val="00217275"/>
    <w:rsid w:val="002211DD"/>
    <w:rsid w:val="002245C4"/>
    <w:rsid w:val="00225C0A"/>
    <w:rsid w:val="002311F7"/>
    <w:rsid w:val="00236F4B"/>
    <w:rsid w:val="002403C6"/>
    <w:rsid w:val="00240C32"/>
    <w:rsid w:val="0024162F"/>
    <w:rsid w:val="00242B0D"/>
    <w:rsid w:val="0024328A"/>
    <w:rsid w:val="002449E9"/>
    <w:rsid w:val="002467C6"/>
    <w:rsid w:val="0024692A"/>
    <w:rsid w:val="00246BC7"/>
    <w:rsid w:val="002501AA"/>
    <w:rsid w:val="00252BBA"/>
    <w:rsid w:val="00253123"/>
    <w:rsid w:val="002539D9"/>
    <w:rsid w:val="00254321"/>
    <w:rsid w:val="00256CF8"/>
    <w:rsid w:val="00264001"/>
    <w:rsid w:val="00265470"/>
    <w:rsid w:val="00266354"/>
    <w:rsid w:val="00267A18"/>
    <w:rsid w:val="00272C4C"/>
    <w:rsid w:val="00273462"/>
    <w:rsid w:val="0027395B"/>
    <w:rsid w:val="00273FD5"/>
    <w:rsid w:val="00275854"/>
    <w:rsid w:val="00275B95"/>
    <w:rsid w:val="0028062C"/>
    <w:rsid w:val="00283B41"/>
    <w:rsid w:val="00283C1D"/>
    <w:rsid w:val="00285F28"/>
    <w:rsid w:val="00286398"/>
    <w:rsid w:val="00291C29"/>
    <w:rsid w:val="00293CAD"/>
    <w:rsid w:val="002979FF"/>
    <w:rsid w:val="002A226B"/>
    <w:rsid w:val="002A3AC1"/>
    <w:rsid w:val="002A3C42"/>
    <w:rsid w:val="002A45D0"/>
    <w:rsid w:val="002A5D75"/>
    <w:rsid w:val="002A5FAE"/>
    <w:rsid w:val="002A7AAD"/>
    <w:rsid w:val="002A7EFD"/>
    <w:rsid w:val="002A7FA0"/>
    <w:rsid w:val="002B0F69"/>
    <w:rsid w:val="002B1064"/>
    <w:rsid w:val="002B1B1A"/>
    <w:rsid w:val="002B7228"/>
    <w:rsid w:val="002C53EE"/>
    <w:rsid w:val="002C5B1A"/>
    <w:rsid w:val="002D0052"/>
    <w:rsid w:val="002D24F7"/>
    <w:rsid w:val="002D2799"/>
    <w:rsid w:val="002D2CD7"/>
    <w:rsid w:val="002D2D90"/>
    <w:rsid w:val="002D4DDC"/>
    <w:rsid w:val="002D4F2D"/>
    <w:rsid w:val="002D4F75"/>
    <w:rsid w:val="002D5C77"/>
    <w:rsid w:val="002D5F25"/>
    <w:rsid w:val="002D6493"/>
    <w:rsid w:val="002D7AB6"/>
    <w:rsid w:val="002E06D0"/>
    <w:rsid w:val="002E1442"/>
    <w:rsid w:val="002E21CC"/>
    <w:rsid w:val="002E2BBA"/>
    <w:rsid w:val="002E323A"/>
    <w:rsid w:val="002E36F5"/>
    <w:rsid w:val="002E3C27"/>
    <w:rsid w:val="002E403A"/>
    <w:rsid w:val="002E5EA3"/>
    <w:rsid w:val="002E62F1"/>
    <w:rsid w:val="002E7F3A"/>
    <w:rsid w:val="002F35BF"/>
    <w:rsid w:val="002F4EDB"/>
    <w:rsid w:val="002F5007"/>
    <w:rsid w:val="002F511F"/>
    <w:rsid w:val="002F6054"/>
    <w:rsid w:val="003003DA"/>
    <w:rsid w:val="00302F3C"/>
    <w:rsid w:val="003033F6"/>
    <w:rsid w:val="00303BAF"/>
    <w:rsid w:val="00310E13"/>
    <w:rsid w:val="003147E9"/>
    <w:rsid w:val="00314957"/>
    <w:rsid w:val="00315713"/>
    <w:rsid w:val="00316304"/>
    <w:rsid w:val="0031686C"/>
    <w:rsid w:val="003168B3"/>
    <w:rsid w:val="00316FE0"/>
    <w:rsid w:val="00317B4B"/>
    <w:rsid w:val="003204D2"/>
    <w:rsid w:val="00320AFF"/>
    <w:rsid w:val="0032605E"/>
    <w:rsid w:val="003275D1"/>
    <w:rsid w:val="00327A0A"/>
    <w:rsid w:val="00330B2A"/>
    <w:rsid w:val="00331BCA"/>
    <w:rsid w:val="00331E17"/>
    <w:rsid w:val="00333063"/>
    <w:rsid w:val="003369B6"/>
    <w:rsid w:val="003376DF"/>
    <w:rsid w:val="003408E3"/>
    <w:rsid w:val="00340E8A"/>
    <w:rsid w:val="00343480"/>
    <w:rsid w:val="00345E89"/>
    <w:rsid w:val="00345F4C"/>
    <w:rsid w:val="0035085A"/>
    <w:rsid w:val="00350F3B"/>
    <w:rsid w:val="003522A1"/>
    <w:rsid w:val="0035254B"/>
    <w:rsid w:val="00352EB9"/>
    <w:rsid w:val="00353297"/>
    <w:rsid w:val="00353555"/>
    <w:rsid w:val="003550CA"/>
    <w:rsid w:val="003554E3"/>
    <w:rsid w:val="003565D4"/>
    <w:rsid w:val="00357601"/>
    <w:rsid w:val="00357FAF"/>
    <w:rsid w:val="00360607"/>
    <w:rsid w:val="003607FB"/>
    <w:rsid w:val="00360FD5"/>
    <w:rsid w:val="00361921"/>
    <w:rsid w:val="0036340D"/>
    <w:rsid w:val="003634A5"/>
    <w:rsid w:val="0036462F"/>
    <w:rsid w:val="00366868"/>
    <w:rsid w:val="00367506"/>
    <w:rsid w:val="00367D9A"/>
    <w:rsid w:val="00370085"/>
    <w:rsid w:val="003700FF"/>
    <w:rsid w:val="003701D6"/>
    <w:rsid w:val="0037264B"/>
    <w:rsid w:val="003742DB"/>
    <w:rsid w:val="003744A7"/>
    <w:rsid w:val="0037463E"/>
    <w:rsid w:val="00376049"/>
    <w:rsid w:val="00376235"/>
    <w:rsid w:val="00376A08"/>
    <w:rsid w:val="003775EF"/>
    <w:rsid w:val="00381FB6"/>
    <w:rsid w:val="00382D70"/>
    <w:rsid w:val="00382EC1"/>
    <w:rsid w:val="003832AE"/>
    <w:rsid w:val="003836D3"/>
    <w:rsid w:val="00383A52"/>
    <w:rsid w:val="003850A8"/>
    <w:rsid w:val="00386473"/>
    <w:rsid w:val="00387B2E"/>
    <w:rsid w:val="00391652"/>
    <w:rsid w:val="0039507F"/>
    <w:rsid w:val="00397E8D"/>
    <w:rsid w:val="003A048F"/>
    <w:rsid w:val="003A0A3F"/>
    <w:rsid w:val="003A1260"/>
    <w:rsid w:val="003A135D"/>
    <w:rsid w:val="003A295F"/>
    <w:rsid w:val="003A41DD"/>
    <w:rsid w:val="003A5286"/>
    <w:rsid w:val="003A7033"/>
    <w:rsid w:val="003A7E01"/>
    <w:rsid w:val="003B0B39"/>
    <w:rsid w:val="003B1CCC"/>
    <w:rsid w:val="003B3662"/>
    <w:rsid w:val="003B3679"/>
    <w:rsid w:val="003B4578"/>
    <w:rsid w:val="003B47FE"/>
    <w:rsid w:val="003B4F57"/>
    <w:rsid w:val="003B5673"/>
    <w:rsid w:val="003B6287"/>
    <w:rsid w:val="003B62C9"/>
    <w:rsid w:val="003C0E9B"/>
    <w:rsid w:val="003C190E"/>
    <w:rsid w:val="003C230C"/>
    <w:rsid w:val="003C4B1C"/>
    <w:rsid w:val="003C57B6"/>
    <w:rsid w:val="003C6F32"/>
    <w:rsid w:val="003C7176"/>
    <w:rsid w:val="003D0929"/>
    <w:rsid w:val="003D4729"/>
    <w:rsid w:val="003D7DD6"/>
    <w:rsid w:val="003D7E57"/>
    <w:rsid w:val="003E3901"/>
    <w:rsid w:val="003E5AAF"/>
    <w:rsid w:val="003E600D"/>
    <w:rsid w:val="003E64D4"/>
    <w:rsid w:val="003E64DF"/>
    <w:rsid w:val="003E6A5D"/>
    <w:rsid w:val="003F193A"/>
    <w:rsid w:val="003F401E"/>
    <w:rsid w:val="003F4207"/>
    <w:rsid w:val="003F4EB1"/>
    <w:rsid w:val="003F5C46"/>
    <w:rsid w:val="003F7CBB"/>
    <w:rsid w:val="003F7D34"/>
    <w:rsid w:val="0040192E"/>
    <w:rsid w:val="00401D65"/>
    <w:rsid w:val="00406D07"/>
    <w:rsid w:val="00412C8E"/>
    <w:rsid w:val="00414186"/>
    <w:rsid w:val="0041518D"/>
    <w:rsid w:val="0042221D"/>
    <w:rsid w:val="0042260D"/>
    <w:rsid w:val="00423B60"/>
    <w:rsid w:val="00424DD3"/>
    <w:rsid w:val="00426725"/>
    <w:rsid w:val="004269C5"/>
    <w:rsid w:val="0042763F"/>
    <w:rsid w:val="00431FC9"/>
    <w:rsid w:val="00432245"/>
    <w:rsid w:val="0043281D"/>
    <w:rsid w:val="0043579F"/>
    <w:rsid w:val="00435939"/>
    <w:rsid w:val="00436B3F"/>
    <w:rsid w:val="004376D5"/>
    <w:rsid w:val="00437CC7"/>
    <w:rsid w:val="00440B56"/>
    <w:rsid w:val="00442B9C"/>
    <w:rsid w:val="00445B18"/>
    <w:rsid w:val="00445EFA"/>
    <w:rsid w:val="0044738A"/>
    <w:rsid w:val="004473D3"/>
    <w:rsid w:val="00447597"/>
    <w:rsid w:val="00452231"/>
    <w:rsid w:val="00456D21"/>
    <w:rsid w:val="00456D59"/>
    <w:rsid w:val="004607BA"/>
    <w:rsid w:val="00460C13"/>
    <w:rsid w:val="00461155"/>
    <w:rsid w:val="0046169C"/>
    <w:rsid w:val="00461BFD"/>
    <w:rsid w:val="00463228"/>
    <w:rsid w:val="00463782"/>
    <w:rsid w:val="004667E0"/>
    <w:rsid w:val="0046760E"/>
    <w:rsid w:val="00470727"/>
    <w:rsid w:val="00470E10"/>
    <w:rsid w:val="004716D6"/>
    <w:rsid w:val="004744B6"/>
    <w:rsid w:val="00474CB9"/>
    <w:rsid w:val="0047599D"/>
    <w:rsid w:val="004768D5"/>
    <w:rsid w:val="00477A97"/>
    <w:rsid w:val="00477E66"/>
    <w:rsid w:val="00480924"/>
    <w:rsid w:val="00480C72"/>
    <w:rsid w:val="00481343"/>
    <w:rsid w:val="00481C6B"/>
    <w:rsid w:val="00482CF0"/>
    <w:rsid w:val="00483150"/>
    <w:rsid w:val="00483DF6"/>
    <w:rsid w:val="0048549E"/>
    <w:rsid w:val="00485F32"/>
    <w:rsid w:val="004930C6"/>
    <w:rsid w:val="00493347"/>
    <w:rsid w:val="00493F49"/>
    <w:rsid w:val="00496092"/>
    <w:rsid w:val="0049778C"/>
    <w:rsid w:val="004A088C"/>
    <w:rsid w:val="004A08DB"/>
    <w:rsid w:val="004A115A"/>
    <w:rsid w:val="004A25D0"/>
    <w:rsid w:val="004A2A05"/>
    <w:rsid w:val="004A37E8"/>
    <w:rsid w:val="004A59F5"/>
    <w:rsid w:val="004A6FF9"/>
    <w:rsid w:val="004A7549"/>
    <w:rsid w:val="004B0402"/>
    <w:rsid w:val="004B09D4"/>
    <w:rsid w:val="004B1BB5"/>
    <w:rsid w:val="004B309D"/>
    <w:rsid w:val="004B330A"/>
    <w:rsid w:val="004B65E1"/>
    <w:rsid w:val="004B70FF"/>
    <w:rsid w:val="004B7C8E"/>
    <w:rsid w:val="004C004D"/>
    <w:rsid w:val="004C0052"/>
    <w:rsid w:val="004C12E4"/>
    <w:rsid w:val="004C12EA"/>
    <w:rsid w:val="004C2C86"/>
    <w:rsid w:val="004C39EE"/>
    <w:rsid w:val="004C3D3C"/>
    <w:rsid w:val="004C41CB"/>
    <w:rsid w:val="004C5A7A"/>
    <w:rsid w:val="004D0EDC"/>
    <w:rsid w:val="004D1220"/>
    <w:rsid w:val="004D14B3"/>
    <w:rsid w:val="004D1529"/>
    <w:rsid w:val="004D2253"/>
    <w:rsid w:val="004D5514"/>
    <w:rsid w:val="004D56C3"/>
    <w:rsid w:val="004D5FA4"/>
    <w:rsid w:val="004D6CAE"/>
    <w:rsid w:val="004E0338"/>
    <w:rsid w:val="004E20A6"/>
    <w:rsid w:val="004E3023"/>
    <w:rsid w:val="004E4D90"/>
    <w:rsid w:val="004E4FF3"/>
    <w:rsid w:val="004E56A8"/>
    <w:rsid w:val="004E711D"/>
    <w:rsid w:val="004F2E6F"/>
    <w:rsid w:val="004F32E8"/>
    <w:rsid w:val="004F3B55"/>
    <w:rsid w:val="004F428E"/>
    <w:rsid w:val="004F4E46"/>
    <w:rsid w:val="004F6B7D"/>
    <w:rsid w:val="005004B4"/>
    <w:rsid w:val="005015F6"/>
    <w:rsid w:val="005030C4"/>
    <w:rsid w:val="005031C5"/>
    <w:rsid w:val="0050336B"/>
    <w:rsid w:val="00504FDC"/>
    <w:rsid w:val="00505657"/>
    <w:rsid w:val="005061AE"/>
    <w:rsid w:val="00507052"/>
    <w:rsid w:val="005105DE"/>
    <w:rsid w:val="00511E37"/>
    <w:rsid w:val="005120CC"/>
    <w:rsid w:val="00512B7B"/>
    <w:rsid w:val="00513A29"/>
    <w:rsid w:val="00514EA1"/>
    <w:rsid w:val="00515965"/>
    <w:rsid w:val="0051798B"/>
    <w:rsid w:val="00521994"/>
    <w:rsid w:val="00521F5A"/>
    <w:rsid w:val="0052254E"/>
    <w:rsid w:val="00525E06"/>
    <w:rsid w:val="00526454"/>
    <w:rsid w:val="00527492"/>
    <w:rsid w:val="00527928"/>
    <w:rsid w:val="00530ADE"/>
    <w:rsid w:val="00530E13"/>
    <w:rsid w:val="0053149F"/>
    <w:rsid w:val="00531823"/>
    <w:rsid w:val="00532444"/>
    <w:rsid w:val="00532A26"/>
    <w:rsid w:val="00533558"/>
    <w:rsid w:val="00534ECC"/>
    <w:rsid w:val="0053720D"/>
    <w:rsid w:val="00537AA9"/>
    <w:rsid w:val="00540EF5"/>
    <w:rsid w:val="00541BF3"/>
    <w:rsid w:val="00541CD3"/>
    <w:rsid w:val="00542BD9"/>
    <w:rsid w:val="00542D17"/>
    <w:rsid w:val="00543545"/>
    <w:rsid w:val="005467D6"/>
    <w:rsid w:val="005476FA"/>
    <w:rsid w:val="00553D4C"/>
    <w:rsid w:val="0055595E"/>
    <w:rsid w:val="005571D9"/>
    <w:rsid w:val="00557988"/>
    <w:rsid w:val="00561DA8"/>
    <w:rsid w:val="00562C49"/>
    <w:rsid w:val="00562DEF"/>
    <w:rsid w:val="0056321A"/>
    <w:rsid w:val="00563A35"/>
    <w:rsid w:val="005647E5"/>
    <w:rsid w:val="00566155"/>
    <w:rsid w:val="00566596"/>
    <w:rsid w:val="005741E9"/>
    <w:rsid w:val="005748CF"/>
    <w:rsid w:val="00574CC7"/>
    <w:rsid w:val="00575AE9"/>
    <w:rsid w:val="00576261"/>
    <w:rsid w:val="0058068D"/>
    <w:rsid w:val="00582C91"/>
    <w:rsid w:val="00584270"/>
    <w:rsid w:val="00584738"/>
    <w:rsid w:val="00584FB2"/>
    <w:rsid w:val="00586F3A"/>
    <w:rsid w:val="00587E3D"/>
    <w:rsid w:val="005920B0"/>
    <w:rsid w:val="0059380D"/>
    <w:rsid w:val="00593B7D"/>
    <w:rsid w:val="00595A8F"/>
    <w:rsid w:val="005964FC"/>
    <w:rsid w:val="005977C2"/>
    <w:rsid w:val="00597BF2"/>
    <w:rsid w:val="005A112E"/>
    <w:rsid w:val="005A1F54"/>
    <w:rsid w:val="005A3020"/>
    <w:rsid w:val="005A4C1D"/>
    <w:rsid w:val="005A5013"/>
    <w:rsid w:val="005A5C68"/>
    <w:rsid w:val="005A6891"/>
    <w:rsid w:val="005B134E"/>
    <w:rsid w:val="005B2039"/>
    <w:rsid w:val="005B344F"/>
    <w:rsid w:val="005B3FBA"/>
    <w:rsid w:val="005B402A"/>
    <w:rsid w:val="005B4A1D"/>
    <w:rsid w:val="005B59F6"/>
    <w:rsid w:val="005B5B74"/>
    <w:rsid w:val="005B674D"/>
    <w:rsid w:val="005C056D"/>
    <w:rsid w:val="005C0CBE"/>
    <w:rsid w:val="005C1FCF"/>
    <w:rsid w:val="005C2810"/>
    <w:rsid w:val="005C29C7"/>
    <w:rsid w:val="005C37E8"/>
    <w:rsid w:val="005C3F41"/>
    <w:rsid w:val="005D0EC3"/>
    <w:rsid w:val="005D1885"/>
    <w:rsid w:val="005D2DF0"/>
    <w:rsid w:val="005D35AB"/>
    <w:rsid w:val="005D3810"/>
    <w:rsid w:val="005D4A38"/>
    <w:rsid w:val="005E0EE4"/>
    <w:rsid w:val="005E2EEA"/>
    <w:rsid w:val="005E3708"/>
    <w:rsid w:val="005E3CCD"/>
    <w:rsid w:val="005E3D6B"/>
    <w:rsid w:val="005E3E9A"/>
    <w:rsid w:val="005E5B55"/>
    <w:rsid w:val="005E5E4A"/>
    <w:rsid w:val="005E693D"/>
    <w:rsid w:val="005E75BF"/>
    <w:rsid w:val="005F0079"/>
    <w:rsid w:val="005F1542"/>
    <w:rsid w:val="005F2D02"/>
    <w:rsid w:val="005F3570"/>
    <w:rsid w:val="005F394A"/>
    <w:rsid w:val="005F4056"/>
    <w:rsid w:val="005F487A"/>
    <w:rsid w:val="005F57BA"/>
    <w:rsid w:val="005F5EF6"/>
    <w:rsid w:val="005F6145"/>
    <w:rsid w:val="005F61E6"/>
    <w:rsid w:val="005F6449"/>
    <w:rsid w:val="005F6C45"/>
    <w:rsid w:val="006008B2"/>
    <w:rsid w:val="0060092A"/>
    <w:rsid w:val="006025B4"/>
    <w:rsid w:val="00604D0D"/>
    <w:rsid w:val="00605A69"/>
    <w:rsid w:val="00606C54"/>
    <w:rsid w:val="00614375"/>
    <w:rsid w:val="00614FF3"/>
    <w:rsid w:val="00615B0A"/>
    <w:rsid w:val="006168CF"/>
    <w:rsid w:val="0061704F"/>
    <w:rsid w:val="0062011B"/>
    <w:rsid w:val="00620121"/>
    <w:rsid w:val="00622D73"/>
    <w:rsid w:val="0062671B"/>
    <w:rsid w:val="00626DE0"/>
    <w:rsid w:val="00630901"/>
    <w:rsid w:val="00631F8E"/>
    <w:rsid w:val="00632D73"/>
    <w:rsid w:val="006332F0"/>
    <w:rsid w:val="00633438"/>
    <w:rsid w:val="00636EE9"/>
    <w:rsid w:val="00640950"/>
    <w:rsid w:val="0064196A"/>
    <w:rsid w:val="00641AE7"/>
    <w:rsid w:val="00642629"/>
    <w:rsid w:val="00645E1A"/>
    <w:rsid w:val="0064716A"/>
    <w:rsid w:val="0064782B"/>
    <w:rsid w:val="00647B38"/>
    <w:rsid w:val="0065293D"/>
    <w:rsid w:val="0065308B"/>
    <w:rsid w:val="00653771"/>
    <w:rsid w:val="00653EFC"/>
    <w:rsid w:val="00654021"/>
    <w:rsid w:val="00654F8F"/>
    <w:rsid w:val="006567F2"/>
    <w:rsid w:val="00661045"/>
    <w:rsid w:val="0066389B"/>
    <w:rsid w:val="0066389C"/>
    <w:rsid w:val="006662E9"/>
    <w:rsid w:val="006666F1"/>
    <w:rsid w:val="00666704"/>
    <w:rsid w:val="00666DA8"/>
    <w:rsid w:val="006702C3"/>
    <w:rsid w:val="00671057"/>
    <w:rsid w:val="00671C3F"/>
    <w:rsid w:val="0067480B"/>
    <w:rsid w:val="00674F0C"/>
    <w:rsid w:val="00675AAF"/>
    <w:rsid w:val="00677CD6"/>
    <w:rsid w:val="0068031A"/>
    <w:rsid w:val="00681B2F"/>
    <w:rsid w:val="0068335F"/>
    <w:rsid w:val="006841DA"/>
    <w:rsid w:val="00684578"/>
    <w:rsid w:val="00685FEE"/>
    <w:rsid w:val="00687217"/>
    <w:rsid w:val="0068737A"/>
    <w:rsid w:val="00687567"/>
    <w:rsid w:val="00691839"/>
    <w:rsid w:val="00691A7A"/>
    <w:rsid w:val="00692E35"/>
    <w:rsid w:val="00693302"/>
    <w:rsid w:val="00693A6C"/>
    <w:rsid w:val="0069640B"/>
    <w:rsid w:val="00696E22"/>
    <w:rsid w:val="00697908"/>
    <w:rsid w:val="006A04CB"/>
    <w:rsid w:val="006A1B83"/>
    <w:rsid w:val="006A21CD"/>
    <w:rsid w:val="006A3A67"/>
    <w:rsid w:val="006A3C6E"/>
    <w:rsid w:val="006A5918"/>
    <w:rsid w:val="006A5E0D"/>
    <w:rsid w:val="006A68DF"/>
    <w:rsid w:val="006A69EA"/>
    <w:rsid w:val="006B21B2"/>
    <w:rsid w:val="006B4A4A"/>
    <w:rsid w:val="006B6A97"/>
    <w:rsid w:val="006C1941"/>
    <w:rsid w:val="006C19B2"/>
    <w:rsid w:val="006C229E"/>
    <w:rsid w:val="006C2621"/>
    <w:rsid w:val="006C35BA"/>
    <w:rsid w:val="006C4409"/>
    <w:rsid w:val="006C5BB8"/>
    <w:rsid w:val="006C6936"/>
    <w:rsid w:val="006C7B01"/>
    <w:rsid w:val="006D0FE8"/>
    <w:rsid w:val="006D32E2"/>
    <w:rsid w:val="006D347B"/>
    <w:rsid w:val="006D4B2B"/>
    <w:rsid w:val="006D4F3C"/>
    <w:rsid w:val="006D5C66"/>
    <w:rsid w:val="006D7002"/>
    <w:rsid w:val="006D731B"/>
    <w:rsid w:val="006E0E45"/>
    <w:rsid w:val="006E1848"/>
    <w:rsid w:val="006E1B3C"/>
    <w:rsid w:val="006E1D96"/>
    <w:rsid w:val="006E1DF4"/>
    <w:rsid w:val="006E23BC"/>
    <w:rsid w:val="006E23FB"/>
    <w:rsid w:val="006E2431"/>
    <w:rsid w:val="006E325A"/>
    <w:rsid w:val="006E33EC"/>
    <w:rsid w:val="006E3802"/>
    <w:rsid w:val="006E6C02"/>
    <w:rsid w:val="006F231A"/>
    <w:rsid w:val="006F3C74"/>
    <w:rsid w:val="006F5599"/>
    <w:rsid w:val="006F6B55"/>
    <w:rsid w:val="006F6DAC"/>
    <w:rsid w:val="006F788D"/>
    <w:rsid w:val="006F78E1"/>
    <w:rsid w:val="00701072"/>
    <w:rsid w:val="00702054"/>
    <w:rsid w:val="007030DC"/>
    <w:rsid w:val="00703357"/>
    <w:rsid w:val="007035A4"/>
    <w:rsid w:val="007057B5"/>
    <w:rsid w:val="00707433"/>
    <w:rsid w:val="0070769A"/>
    <w:rsid w:val="00711799"/>
    <w:rsid w:val="00712849"/>
    <w:rsid w:val="00712B78"/>
    <w:rsid w:val="0071393B"/>
    <w:rsid w:val="00713A07"/>
    <w:rsid w:val="00713EE2"/>
    <w:rsid w:val="00714F20"/>
    <w:rsid w:val="00715D1A"/>
    <w:rsid w:val="0071722B"/>
    <w:rsid w:val="007177FC"/>
    <w:rsid w:val="0072018B"/>
    <w:rsid w:val="007206F1"/>
    <w:rsid w:val="00720C5E"/>
    <w:rsid w:val="00720F01"/>
    <w:rsid w:val="00721701"/>
    <w:rsid w:val="00721CCE"/>
    <w:rsid w:val="007221EE"/>
    <w:rsid w:val="00724921"/>
    <w:rsid w:val="00727491"/>
    <w:rsid w:val="00730EB9"/>
    <w:rsid w:val="00731835"/>
    <w:rsid w:val="00731EC2"/>
    <w:rsid w:val="007341F8"/>
    <w:rsid w:val="00734372"/>
    <w:rsid w:val="00734EB8"/>
    <w:rsid w:val="00735F8B"/>
    <w:rsid w:val="00736C6D"/>
    <w:rsid w:val="007374CC"/>
    <w:rsid w:val="0074090B"/>
    <w:rsid w:val="00741C5B"/>
    <w:rsid w:val="007423F0"/>
    <w:rsid w:val="00742880"/>
    <w:rsid w:val="007429B8"/>
    <w:rsid w:val="00742D1F"/>
    <w:rsid w:val="00743537"/>
    <w:rsid w:val="00743962"/>
    <w:rsid w:val="00743EBA"/>
    <w:rsid w:val="007446D1"/>
    <w:rsid w:val="00744C8E"/>
    <w:rsid w:val="007450E1"/>
    <w:rsid w:val="00745C2C"/>
    <w:rsid w:val="00745E36"/>
    <w:rsid w:val="0074707E"/>
    <w:rsid w:val="007516DC"/>
    <w:rsid w:val="00752724"/>
    <w:rsid w:val="00752E58"/>
    <w:rsid w:val="00754047"/>
    <w:rsid w:val="00754B80"/>
    <w:rsid w:val="00756D3A"/>
    <w:rsid w:val="00760691"/>
    <w:rsid w:val="00761918"/>
    <w:rsid w:val="00762F03"/>
    <w:rsid w:val="00763D95"/>
    <w:rsid w:val="0076413B"/>
    <w:rsid w:val="007648AE"/>
    <w:rsid w:val="00764BF8"/>
    <w:rsid w:val="0076514D"/>
    <w:rsid w:val="00766DF0"/>
    <w:rsid w:val="00771305"/>
    <w:rsid w:val="00771523"/>
    <w:rsid w:val="0077156A"/>
    <w:rsid w:val="00771F19"/>
    <w:rsid w:val="007733BC"/>
    <w:rsid w:val="00773D59"/>
    <w:rsid w:val="007765E9"/>
    <w:rsid w:val="007770CA"/>
    <w:rsid w:val="00781003"/>
    <w:rsid w:val="00784FB7"/>
    <w:rsid w:val="00785107"/>
    <w:rsid w:val="0078515E"/>
    <w:rsid w:val="00786FB2"/>
    <w:rsid w:val="007911FD"/>
    <w:rsid w:val="007914E6"/>
    <w:rsid w:val="00792B7D"/>
    <w:rsid w:val="00793930"/>
    <w:rsid w:val="007939B7"/>
    <w:rsid w:val="00793DD1"/>
    <w:rsid w:val="00793FBD"/>
    <w:rsid w:val="00794FEC"/>
    <w:rsid w:val="00795063"/>
    <w:rsid w:val="0079619F"/>
    <w:rsid w:val="007A003E"/>
    <w:rsid w:val="007A14D2"/>
    <w:rsid w:val="007A1965"/>
    <w:rsid w:val="007A295A"/>
    <w:rsid w:val="007A2ED1"/>
    <w:rsid w:val="007A4BE6"/>
    <w:rsid w:val="007A66B4"/>
    <w:rsid w:val="007A7D6C"/>
    <w:rsid w:val="007B06A6"/>
    <w:rsid w:val="007B0DC6"/>
    <w:rsid w:val="007B1094"/>
    <w:rsid w:val="007B1762"/>
    <w:rsid w:val="007B1872"/>
    <w:rsid w:val="007B18CF"/>
    <w:rsid w:val="007B3320"/>
    <w:rsid w:val="007B723B"/>
    <w:rsid w:val="007B7811"/>
    <w:rsid w:val="007C10A5"/>
    <w:rsid w:val="007C17E2"/>
    <w:rsid w:val="007C301F"/>
    <w:rsid w:val="007C3750"/>
    <w:rsid w:val="007C4540"/>
    <w:rsid w:val="007C5EC1"/>
    <w:rsid w:val="007C65AF"/>
    <w:rsid w:val="007C7A9B"/>
    <w:rsid w:val="007D135D"/>
    <w:rsid w:val="007D4262"/>
    <w:rsid w:val="007D5584"/>
    <w:rsid w:val="007D730F"/>
    <w:rsid w:val="007D74A2"/>
    <w:rsid w:val="007D79F5"/>
    <w:rsid w:val="007D7CD8"/>
    <w:rsid w:val="007D7EB9"/>
    <w:rsid w:val="007E3AA7"/>
    <w:rsid w:val="007E3C03"/>
    <w:rsid w:val="007F38C8"/>
    <w:rsid w:val="007F40EB"/>
    <w:rsid w:val="007F5FC5"/>
    <w:rsid w:val="007F737D"/>
    <w:rsid w:val="007F7695"/>
    <w:rsid w:val="00802308"/>
    <w:rsid w:val="008029DC"/>
    <w:rsid w:val="0080308E"/>
    <w:rsid w:val="008043C7"/>
    <w:rsid w:val="00805303"/>
    <w:rsid w:val="00805BA6"/>
    <w:rsid w:val="00805F02"/>
    <w:rsid w:val="00806705"/>
    <w:rsid w:val="00806738"/>
    <w:rsid w:val="00807C32"/>
    <w:rsid w:val="008101F0"/>
    <w:rsid w:val="0081592C"/>
    <w:rsid w:val="00815AC9"/>
    <w:rsid w:val="008216D5"/>
    <w:rsid w:val="00822608"/>
    <w:rsid w:val="0082294F"/>
    <w:rsid w:val="008249CE"/>
    <w:rsid w:val="00825E2F"/>
    <w:rsid w:val="00826A2B"/>
    <w:rsid w:val="00831A50"/>
    <w:rsid w:val="00831B3C"/>
    <w:rsid w:val="00831C89"/>
    <w:rsid w:val="00832114"/>
    <w:rsid w:val="00832611"/>
    <w:rsid w:val="00832B48"/>
    <w:rsid w:val="00832E07"/>
    <w:rsid w:val="0083380B"/>
    <w:rsid w:val="00834C46"/>
    <w:rsid w:val="0083592A"/>
    <w:rsid w:val="008368E5"/>
    <w:rsid w:val="00837CF2"/>
    <w:rsid w:val="0084093E"/>
    <w:rsid w:val="008417B0"/>
    <w:rsid w:val="00841CE1"/>
    <w:rsid w:val="00843B4E"/>
    <w:rsid w:val="00844282"/>
    <w:rsid w:val="0084607E"/>
    <w:rsid w:val="008465B7"/>
    <w:rsid w:val="008473D8"/>
    <w:rsid w:val="00851FC5"/>
    <w:rsid w:val="008528DC"/>
    <w:rsid w:val="00852B8C"/>
    <w:rsid w:val="00854981"/>
    <w:rsid w:val="008566DB"/>
    <w:rsid w:val="00856880"/>
    <w:rsid w:val="00856981"/>
    <w:rsid w:val="0086233D"/>
    <w:rsid w:val="00862706"/>
    <w:rsid w:val="008629F5"/>
    <w:rsid w:val="00863A2C"/>
    <w:rsid w:val="00864B2E"/>
    <w:rsid w:val="00865963"/>
    <w:rsid w:val="00867138"/>
    <w:rsid w:val="00867689"/>
    <w:rsid w:val="00867E84"/>
    <w:rsid w:val="00871C1D"/>
    <w:rsid w:val="008721CA"/>
    <w:rsid w:val="0087450E"/>
    <w:rsid w:val="00875A82"/>
    <w:rsid w:val="00876CA3"/>
    <w:rsid w:val="008772FE"/>
    <w:rsid w:val="008775F1"/>
    <w:rsid w:val="0087789E"/>
    <w:rsid w:val="008778EF"/>
    <w:rsid w:val="00880CF7"/>
    <w:rsid w:val="008821AE"/>
    <w:rsid w:val="00883461"/>
    <w:rsid w:val="00883D3A"/>
    <w:rsid w:val="008854F7"/>
    <w:rsid w:val="00885A9D"/>
    <w:rsid w:val="00891003"/>
    <w:rsid w:val="008929D2"/>
    <w:rsid w:val="00892AFF"/>
    <w:rsid w:val="00893056"/>
    <w:rsid w:val="00893364"/>
    <w:rsid w:val="00893632"/>
    <w:rsid w:val="00893636"/>
    <w:rsid w:val="00893B94"/>
    <w:rsid w:val="00895A60"/>
    <w:rsid w:val="00896E9D"/>
    <w:rsid w:val="00896F11"/>
    <w:rsid w:val="008A011B"/>
    <w:rsid w:val="008A09CA"/>
    <w:rsid w:val="008A1049"/>
    <w:rsid w:val="008A1C98"/>
    <w:rsid w:val="008A322D"/>
    <w:rsid w:val="008A4D72"/>
    <w:rsid w:val="008A5A5E"/>
    <w:rsid w:val="008A6285"/>
    <w:rsid w:val="008A63B2"/>
    <w:rsid w:val="008A779F"/>
    <w:rsid w:val="008B1E13"/>
    <w:rsid w:val="008B345D"/>
    <w:rsid w:val="008B416D"/>
    <w:rsid w:val="008B4209"/>
    <w:rsid w:val="008C1097"/>
    <w:rsid w:val="008C186C"/>
    <w:rsid w:val="008C1FC2"/>
    <w:rsid w:val="008C2980"/>
    <w:rsid w:val="008C38A4"/>
    <w:rsid w:val="008C4B12"/>
    <w:rsid w:val="008C4C4B"/>
    <w:rsid w:val="008C4DD6"/>
    <w:rsid w:val="008C560F"/>
    <w:rsid w:val="008C5654"/>
    <w:rsid w:val="008C5AFB"/>
    <w:rsid w:val="008C6B1F"/>
    <w:rsid w:val="008D07FB"/>
    <w:rsid w:val="008D0815"/>
    <w:rsid w:val="008D0C02"/>
    <w:rsid w:val="008D357D"/>
    <w:rsid w:val="008D435A"/>
    <w:rsid w:val="008D6D4D"/>
    <w:rsid w:val="008D71F1"/>
    <w:rsid w:val="008D7A93"/>
    <w:rsid w:val="008E0C51"/>
    <w:rsid w:val="008E387B"/>
    <w:rsid w:val="008E415C"/>
    <w:rsid w:val="008E4AF2"/>
    <w:rsid w:val="008E6087"/>
    <w:rsid w:val="008E6F7D"/>
    <w:rsid w:val="008E758D"/>
    <w:rsid w:val="008F10A7"/>
    <w:rsid w:val="008F10C0"/>
    <w:rsid w:val="008F3287"/>
    <w:rsid w:val="008F755D"/>
    <w:rsid w:val="008F7A39"/>
    <w:rsid w:val="009011D7"/>
    <w:rsid w:val="009021E8"/>
    <w:rsid w:val="0090422A"/>
    <w:rsid w:val="00904677"/>
    <w:rsid w:val="00905EE2"/>
    <w:rsid w:val="00911440"/>
    <w:rsid w:val="00911712"/>
    <w:rsid w:val="00911B27"/>
    <w:rsid w:val="00915DC6"/>
    <w:rsid w:val="00916242"/>
    <w:rsid w:val="0091700E"/>
    <w:rsid w:val="009170BE"/>
    <w:rsid w:val="0092050F"/>
    <w:rsid w:val="00920B55"/>
    <w:rsid w:val="009228D1"/>
    <w:rsid w:val="00924A55"/>
    <w:rsid w:val="009261C1"/>
    <w:rsid w:val="009262C9"/>
    <w:rsid w:val="009278F7"/>
    <w:rsid w:val="00930EB9"/>
    <w:rsid w:val="00933B40"/>
    <w:rsid w:val="00933DC7"/>
    <w:rsid w:val="00934A5C"/>
    <w:rsid w:val="00936244"/>
    <w:rsid w:val="009418F4"/>
    <w:rsid w:val="00942BBC"/>
    <w:rsid w:val="00943124"/>
    <w:rsid w:val="00944180"/>
    <w:rsid w:val="00944AA0"/>
    <w:rsid w:val="0094548E"/>
    <w:rsid w:val="009463C6"/>
    <w:rsid w:val="00947DA2"/>
    <w:rsid w:val="00951177"/>
    <w:rsid w:val="00952CB0"/>
    <w:rsid w:val="0095373D"/>
    <w:rsid w:val="00953FEC"/>
    <w:rsid w:val="00954C0A"/>
    <w:rsid w:val="0095560C"/>
    <w:rsid w:val="00955687"/>
    <w:rsid w:val="00957FEF"/>
    <w:rsid w:val="00960EDC"/>
    <w:rsid w:val="00961789"/>
    <w:rsid w:val="00965BE0"/>
    <w:rsid w:val="009673E8"/>
    <w:rsid w:val="009677FC"/>
    <w:rsid w:val="00970B43"/>
    <w:rsid w:val="00971392"/>
    <w:rsid w:val="00974A8D"/>
    <w:rsid w:val="00974DB8"/>
    <w:rsid w:val="0097638A"/>
    <w:rsid w:val="0097723B"/>
    <w:rsid w:val="00980661"/>
    <w:rsid w:val="0098093B"/>
    <w:rsid w:val="009828A9"/>
    <w:rsid w:val="00983DBB"/>
    <w:rsid w:val="00985320"/>
    <w:rsid w:val="009876D4"/>
    <w:rsid w:val="00990043"/>
    <w:rsid w:val="009914A5"/>
    <w:rsid w:val="0099548E"/>
    <w:rsid w:val="00996456"/>
    <w:rsid w:val="00996A12"/>
    <w:rsid w:val="00996F11"/>
    <w:rsid w:val="00997316"/>
    <w:rsid w:val="00997B0F"/>
    <w:rsid w:val="009A0CC3"/>
    <w:rsid w:val="009A1CAD"/>
    <w:rsid w:val="009A32BA"/>
    <w:rsid w:val="009A3440"/>
    <w:rsid w:val="009A3E98"/>
    <w:rsid w:val="009A4EF8"/>
    <w:rsid w:val="009A5832"/>
    <w:rsid w:val="009A6838"/>
    <w:rsid w:val="009A7878"/>
    <w:rsid w:val="009B24B5"/>
    <w:rsid w:val="009B3C3B"/>
    <w:rsid w:val="009B4EBC"/>
    <w:rsid w:val="009B4F83"/>
    <w:rsid w:val="009B5ABB"/>
    <w:rsid w:val="009B6D40"/>
    <w:rsid w:val="009B73CE"/>
    <w:rsid w:val="009B756E"/>
    <w:rsid w:val="009C2461"/>
    <w:rsid w:val="009C3514"/>
    <w:rsid w:val="009C3E5F"/>
    <w:rsid w:val="009C3E94"/>
    <w:rsid w:val="009C5A15"/>
    <w:rsid w:val="009C6094"/>
    <w:rsid w:val="009C6771"/>
    <w:rsid w:val="009C6FE2"/>
    <w:rsid w:val="009C7371"/>
    <w:rsid w:val="009C73E3"/>
    <w:rsid w:val="009C7674"/>
    <w:rsid w:val="009D004A"/>
    <w:rsid w:val="009D0F96"/>
    <w:rsid w:val="009D40D4"/>
    <w:rsid w:val="009D5880"/>
    <w:rsid w:val="009E012C"/>
    <w:rsid w:val="009E0363"/>
    <w:rsid w:val="009E0681"/>
    <w:rsid w:val="009E1FD4"/>
    <w:rsid w:val="009E28D2"/>
    <w:rsid w:val="009E3544"/>
    <w:rsid w:val="009E3B07"/>
    <w:rsid w:val="009E51D1"/>
    <w:rsid w:val="009E5531"/>
    <w:rsid w:val="009F171E"/>
    <w:rsid w:val="009F3D2F"/>
    <w:rsid w:val="009F3EBE"/>
    <w:rsid w:val="009F6F6B"/>
    <w:rsid w:val="009F7052"/>
    <w:rsid w:val="00A002DF"/>
    <w:rsid w:val="00A00566"/>
    <w:rsid w:val="00A01BFE"/>
    <w:rsid w:val="00A02668"/>
    <w:rsid w:val="00A02801"/>
    <w:rsid w:val="00A062BB"/>
    <w:rsid w:val="00A06621"/>
    <w:rsid w:val="00A06A39"/>
    <w:rsid w:val="00A073EB"/>
    <w:rsid w:val="00A07F58"/>
    <w:rsid w:val="00A10EAD"/>
    <w:rsid w:val="00A11BB9"/>
    <w:rsid w:val="00A120BC"/>
    <w:rsid w:val="00A12463"/>
    <w:rsid w:val="00A131CB"/>
    <w:rsid w:val="00A143EC"/>
    <w:rsid w:val="00A1456C"/>
    <w:rsid w:val="00A14847"/>
    <w:rsid w:val="00A16D6D"/>
    <w:rsid w:val="00A21383"/>
    <w:rsid w:val="00A2199F"/>
    <w:rsid w:val="00A21B31"/>
    <w:rsid w:val="00A22F0E"/>
    <w:rsid w:val="00A2330F"/>
    <w:rsid w:val="00A2360E"/>
    <w:rsid w:val="00A2367E"/>
    <w:rsid w:val="00A26E0C"/>
    <w:rsid w:val="00A31F1F"/>
    <w:rsid w:val="00A32FCB"/>
    <w:rsid w:val="00A3404C"/>
    <w:rsid w:val="00A34C25"/>
    <w:rsid w:val="00A3507D"/>
    <w:rsid w:val="00A3717A"/>
    <w:rsid w:val="00A4088C"/>
    <w:rsid w:val="00A413CF"/>
    <w:rsid w:val="00A43509"/>
    <w:rsid w:val="00A4363C"/>
    <w:rsid w:val="00A43DDC"/>
    <w:rsid w:val="00A4456B"/>
    <w:rsid w:val="00A448D4"/>
    <w:rsid w:val="00A44E04"/>
    <w:rsid w:val="00A452E0"/>
    <w:rsid w:val="00A47721"/>
    <w:rsid w:val="00A506DF"/>
    <w:rsid w:val="00A508EB"/>
    <w:rsid w:val="00A51EA5"/>
    <w:rsid w:val="00A52227"/>
    <w:rsid w:val="00A53742"/>
    <w:rsid w:val="00A557A1"/>
    <w:rsid w:val="00A5782C"/>
    <w:rsid w:val="00A63059"/>
    <w:rsid w:val="00A63AE3"/>
    <w:rsid w:val="00A64D7B"/>
    <w:rsid w:val="00A651A4"/>
    <w:rsid w:val="00A655C5"/>
    <w:rsid w:val="00A662D1"/>
    <w:rsid w:val="00A704DB"/>
    <w:rsid w:val="00A71361"/>
    <w:rsid w:val="00A746E2"/>
    <w:rsid w:val="00A76642"/>
    <w:rsid w:val="00A813A9"/>
    <w:rsid w:val="00A81FF2"/>
    <w:rsid w:val="00A8299B"/>
    <w:rsid w:val="00A82DE9"/>
    <w:rsid w:val="00A83904"/>
    <w:rsid w:val="00A83E52"/>
    <w:rsid w:val="00A8538B"/>
    <w:rsid w:val="00A87A00"/>
    <w:rsid w:val="00A90A79"/>
    <w:rsid w:val="00A90A9E"/>
    <w:rsid w:val="00A91810"/>
    <w:rsid w:val="00A91F29"/>
    <w:rsid w:val="00A9276B"/>
    <w:rsid w:val="00A92787"/>
    <w:rsid w:val="00A95D28"/>
    <w:rsid w:val="00A96B30"/>
    <w:rsid w:val="00A97973"/>
    <w:rsid w:val="00AA010B"/>
    <w:rsid w:val="00AA157F"/>
    <w:rsid w:val="00AA2800"/>
    <w:rsid w:val="00AA442D"/>
    <w:rsid w:val="00AA4963"/>
    <w:rsid w:val="00AA59B5"/>
    <w:rsid w:val="00AA5AD8"/>
    <w:rsid w:val="00AA7777"/>
    <w:rsid w:val="00AA7B84"/>
    <w:rsid w:val="00AA7F75"/>
    <w:rsid w:val="00AB0C86"/>
    <w:rsid w:val="00AB0CEC"/>
    <w:rsid w:val="00AB171A"/>
    <w:rsid w:val="00AB1E0B"/>
    <w:rsid w:val="00AB295F"/>
    <w:rsid w:val="00AB7804"/>
    <w:rsid w:val="00AC0B4C"/>
    <w:rsid w:val="00AC1164"/>
    <w:rsid w:val="00AC16F3"/>
    <w:rsid w:val="00AC2296"/>
    <w:rsid w:val="00AC2754"/>
    <w:rsid w:val="00AC3FEA"/>
    <w:rsid w:val="00AC48B0"/>
    <w:rsid w:val="00AC4ACD"/>
    <w:rsid w:val="00AC5DFB"/>
    <w:rsid w:val="00AC75F5"/>
    <w:rsid w:val="00AC799D"/>
    <w:rsid w:val="00AC7D55"/>
    <w:rsid w:val="00AD13DC"/>
    <w:rsid w:val="00AD14BD"/>
    <w:rsid w:val="00AD6DE2"/>
    <w:rsid w:val="00AD7F2C"/>
    <w:rsid w:val="00AE00D8"/>
    <w:rsid w:val="00AE0A40"/>
    <w:rsid w:val="00AE1ED4"/>
    <w:rsid w:val="00AE208B"/>
    <w:rsid w:val="00AE21E1"/>
    <w:rsid w:val="00AE2F8D"/>
    <w:rsid w:val="00AE3BAE"/>
    <w:rsid w:val="00AE6A21"/>
    <w:rsid w:val="00AE79FB"/>
    <w:rsid w:val="00AF1C8F"/>
    <w:rsid w:val="00AF24CF"/>
    <w:rsid w:val="00AF2B68"/>
    <w:rsid w:val="00AF2C92"/>
    <w:rsid w:val="00AF3EC1"/>
    <w:rsid w:val="00AF5025"/>
    <w:rsid w:val="00AF519F"/>
    <w:rsid w:val="00AF5387"/>
    <w:rsid w:val="00AF55F5"/>
    <w:rsid w:val="00AF7328"/>
    <w:rsid w:val="00AF7B03"/>
    <w:rsid w:val="00AF7E86"/>
    <w:rsid w:val="00B01A0F"/>
    <w:rsid w:val="00B024B9"/>
    <w:rsid w:val="00B04D46"/>
    <w:rsid w:val="00B077FA"/>
    <w:rsid w:val="00B07C7F"/>
    <w:rsid w:val="00B127D7"/>
    <w:rsid w:val="00B13B0C"/>
    <w:rsid w:val="00B14408"/>
    <w:rsid w:val="00B1453A"/>
    <w:rsid w:val="00B147F2"/>
    <w:rsid w:val="00B16C66"/>
    <w:rsid w:val="00B1786D"/>
    <w:rsid w:val="00B20F82"/>
    <w:rsid w:val="00B23B94"/>
    <w:rsid w:val="00B25BD5"/>
    <w:rsid w:val="00B2672C"/>
    <w:rsid w:val="00B26FC2"/>
    <w:rsid w:val="00B27B63"/>
    <w:rsid w:val="00B309E9"/>
    <w:rsid w:val="00B31C84"/>
    <w:rsid w:val="00B33B46"/>
    <w:rsid w:val="00B34079"/>
    <w:rsid w:val="00B3793A"/>
    <w:rsid w:val="00B401BA"/>
    <w:rsid w:val="00B407E4"/>
    <w:rsid w:val="00B425B6"/>
    <w:rsid w:val="00B42A72"/>
    <w:rsid w:val="00B43347"/>
    <w:rsid w:val="00B441AE"/>
    <w:rsid w:val="00B44D19"/>
    <w:rsid w:val="00B45A65"/>
    <w:rsid w:val="00B45F33"/>
    <w:rsid w:val="00B46D50"/>
    <w:rsid w:val="00B47720"/>
    <w:rsid w:val="00B53170"/>
    <w:rsid w:val="00B54456"/>
    <w:rsid w:val="00B548B9"/>
    <w:rsid w:val="00B56DBE"/>
    <w:rsid w:val="00B57F9B"/>
    <w:rsid w:val="00B611F2"/>
    <w:rsid w:val="00B61DA7"/>
    <w:rsid w:val="00B62999"/>
    <w:rsid w:val="00B63BE3"/>
    <w:rsid w:val="00B64885"/>
    <w:rsid w:val="00B64D0A"/>
    <w:rsid w:val="00B64FA3"/>
    <w:rsid w:val="00B659C1"/>
    <w:rsid w:val="00B65B6A"/>
    <w:rsid w:val="00B66810"/>
    <w:rsid w:val="00B72BE3"/>
    <w:rsid w:val="00B73B80"/>
    <w:rsid w:val="00B75387"/>
    <w:rsid w:val="00B75A1C"/>
    <w:rsid w:val="00B770C7"/>
    <w:rsid w:val="00B80F26"/>
    <w:rsid w:val="00B822BD"/>
    <w:rsid w:val="00B842F4"/>
    <w:rsid w:val="00B8544F"/>
    <w:rsid w:val="00B866A1"/>
    <w:rsid w:val="00B90FA0"/>
    <w:rsid w:val="00B91A7B"/>
    <w:rsid w:val="00B929DD"/>
    <w:rsid w:val="00B93AF6"/>
    <w:rsid w:val="00B95306"/>
    <w:rsid w:val="00B95405"/>
    <w:rsid w:val="00B96303"/>
    <w:rsid w:val="00B963F1"/>
    <w:rsid w:val="00BA020A"/>
    <w:rsid w:val="00BA37EB"/>
    <w:rsid w:val="00BB025A"/>
    <w:rsid w:val="00BB02A4"/>
    <w:rsid w:val="00BB1270"/>
    <w:rsid w:val="00BB1E44"/>
    <w:rsid w:val="00BB28E7"/>
    <w:rsid w:val="00BB483D"/>
    <w:rsid w:val="00BB5267"/>
    <w:rsid w:val="00BB52B8"/>
    <w:rsid w:val="00BB59D8"/>
    <w:rsid w:val="00BB691B"/>
    <w:rsid w:val="00BB708D"/>
    <w:rsid w:val="00BB7E69"/>
    <w:rsid w:val="00BC0E51"/>
    <w:rsid w:val="00BC1931"/>
    <w:rsid w:val="00BC29BD"/>
    <w:rsid w:val="00BC3C1F"/>
    <w:rsid w:val="00BC4BB4"/>
    <w:rsid w:val="00BC7CE7"/>
    <w:rsid w:val="00BD295E"/>
    <w:rsid w:val="00BD4664"/>
    <w:rsid w:val="00BD48CD"/>
    <w:rsid w:val="00BD5AF2"/>
    <w:rsid w:val="00BE1193"/>
    <w:rsid w:val="00BE695D"/>
    <w:rsid w:val="00BE7909"/>
    <w:rsid w:val="00BF2AD1"/>
    <w:rsid w:val="00BF36E2"/>
    <w:rsid w:val="00BF4849"/>
    <w:rsid w:val="00BF4EA7"/>
    <w:rsid w:val="00BF5E9C"/>
    <w:rsid w:val="00BF6525"/>
    <w:rsid w:val="00BF7252"/>
    <w:rsid w:val="00BF7E7D"/>
    <w:rsid w:val="00C00EDB"/>
    <w:rsid w:val="00C02009"/>
    <w:rsid w:val="00C02863"/>
    <w:rsid w:val="00C03006"/>
    <w:rsid w:val="00C0383A"/>
    <w:rsid w:val="00C04297"/>
    <w:rsid w:val="00C057A9"/>
    <w:rsid w:val="00C067FF"/>
    <w:rsid w:val="00C12862"/>
    <w:rsid w:val="00C12DF3"/>
    <w:rsid w:val="00C13D28"/>
    <w:rsid w:val="00C14585"/>
    <w:rsid w:val="00C14A78"/>
    <w:rsid w:val="00C165A0"/>
    <w:rsid w:val="00C17288"/>
    <w:rsid w:val="00C1785E"/>
    <w:rsid w:val="00C200A7"/>
    <w:rsid w:val="00C216CE"/>
    <w:rsid w:val="00C2184F"/>
    <w:rsid w:val="00C22A78"/>
    <w:rsid w:val="00C23C7E"/>
    <w:rsid w:val="00C246C5"/>
    <w:rsid w:val="00C25A82"/>
    <w:rsid w:val="00C30998"/>
    <w:rsid w:val="00C30A2A"/>
    <w:rsid w:val="00C32193"/>
    <w:rsid w:val="00C33993"/>
    <w:rsid w:val="00C347BA"/>
    <w:rsid w:val="00C35BF3"/>
    <w:rsid w:val="00C4029E"/>
    <w:rsid w:val="00C4069E"/>
    <w:rsid w:val="00C41ADC"/>
    <w:rsid w:val="00C44149"/>
    <w:rsid w:val="00C44410"/>
    <w:rsid w:val="00C44A15"/>
    <w:rsid w:val="00C4630A"/>
    <w:rsid w:val="00C50575"/>
    <w:rsid w:val="00C51319"/>
    <w:rsid w:val="00C51447"/>
    <w:rsid w:val="00C518AB"/>
    <w:rsid w:val="00C523F0"/>
    <w:rsid w:val="00C526D2"/>
    <w:rsid w:val="00C539FB"/>
    <w:rsid w:val="00C53A91"/>
    <w:rsid w:val="00C55296"/>
    <w:rsid w:val="00C5794E"/>
    <w:rsid w:val="00C60968"/>
    <w:rsid w:val="00C61CAC"/>
    <w:rsid w:val="00C63D39"/>
    <w:rsid w:val="00C63EDD"/>
    <w:rsid w:val="00C65B36"/>
    <w:rsid w:val="00C7049C"/>
    <w:rsid w:val="00C7190F"/>
    <w:rsid w:val="00C71C13"/>
    <w:rsid w:val="00C7292E"/>
    <w:rsid w:val="00C74E88"/>
    <w:rsid w:val="00C8060C"/>
    <w:rsid w:val="00C80839"/>
    <w:rsid w:val="00C80924"/>
    <w:rsid w:val="00C80BBA"/>
    <w:rsid w:val="00C8286B"/>
    <w:rsid w:val="00C836B5"/>
    <w:rsid w:val="00C84858"/>
    <w:rsid w:val="00C91F37"/>
    <w:rsid w:val="00C947F8"/>
    <w:rsid w:val="00C9515F"/>
    <w:rsid w:val="00C963C5"/>
    <w:rsid w:val="00CA020F"/>
    <w:rsid w:val="00CA030C"/>
    <w:rsid w:val="00CA0934"/>
    <w:rsid w:val="00CA1F41"/>
    <w:rsid w:val="00CA32EE"/>
    <w:rsid w:val="00CA4B43"/>
    <w:rsid w:val="00CA5730"/>
    <w:rsid w:val="00CA5771"/>
    <w:rsid w:val="00CA5D39"/>
    <w:rsid w:val="00CA63AF"/>
    <w:rsid w:val="00CA6A1A"/>
    <w:rsid w:val="00CB2DD0"/>
    <w:rsid w:val="00CB64E2"/>
    <w:rsid w:val="00CC1E75"/>
    <w:rsid w:val="00CC1F4F"/>
    <w:rsid w:val="00CC2E0E"/>
    <w:rsid w:val="00CC361C"/>
    <w:rsid w:val="00CC474B"/>
    <w:rsid w:val="00CC5FE4"/>
    <w:rsid w:val="00CC658C"/>
    <w:rsid w:val="00CC67BF"/>
    <w:rsid w:val="00CC7951"/>
    <w:rsid w:val="00CD0843"/>
    <w:rsid w:val="00CD4E31"/>
    <w:rsid w:val="00CD5A78"/>
    <w:rsid w:val="00CD699E"/>
    <w:rsid w:val="00CD705B"/>
    <w:rsid w:val="00CD7345"/>
    <w:rsid w:val="00CE17E4"/>
    <w:rsid w:val="00CE2A3E"/>
    <w:rsid w:val="00CE372E"/>
    <w:rsid w:val="00CE4445"/>
    <w:rsid w:val="00CE4688"/>
    <w:rsid w:val="00CE5C58"/>
    <w:rsid w:val="00CF0A1B"/>
    <w:rsid w:val="00CF0FD7"/>
    <w:rsid w:val="00CF19F6"/>
    <w:rsid w:val="00CF2F4F"/>
    <w:rsid w:val="00CF4D1A"/>
    <w:rsid w:val="00CF536D"/>
    <w:rsid w:val="00CF5DF2"/>
    <w:rsid w:val="00CF6150"/>
    <w:rsid w:val="00CF73C4"/>
    <w:rsid w:val="00D00944"/>
    <w:rsid w:val="00D012B6"/>
    <w:rsid w:val="00D0190E"/>
    <w:rsid w:val="00D02E9D"/>
    <w:rsid w:val="00D10CB8"/>
    <w:rsid w:val="00D112E8"/>
    <w:rsid w:val="00D12806"/>
    <w:rsid w:val="00D12D44"/>
    <w:rsid w:val="00D15018"/>
    <w:rsid w:val="00D158AC"/>
    <w:rsid w:val="00D1694C"/>
    <w:rsid w:val="00D20F5E"/>
    <w:rsid w:val="00D22F83"/>
    <w:rsid w:val="00D23B76"/>
    <w:rsid w:val="00D24B4A"/>
    <w:rsid w:val="00D269EC"/>
    <w:rsid w:val="00D27959"/>
    <w:rsid w:val="00D3128E"/>
    <w:rsid w:val="00D33D76"/>
    <w:rsid w:val="00D35317"/>
    <w:rsid w:val="00D36890"/>
    <w:rsid w:val="00D379A3"/>
    <w:rsid w:val="00D40E29"/>
    <w:rsid w:val="00D4376A"/>
    <w:rsid w:val="00D451BE"/>
    <w:rsid w:val="00D45FF3"/>
    <w:rsid w:val="00D509DE"/>
    <w:rsid w:val="00D512CF"/>
    <w:rsid w:val="00D528B9"/>
    <w:rsid w:val="00D52926"/>
    <w:rsid w:val="00D53186"/>
    <w:rsid w:val="00D5487D"/>
    <w:rsid w:val="00D5655B"/>
    <w:rsid w:val="00D60140"/>
    <w:rsid w:val="00D6024A"/>
    <w:rsid w:val="00D608B5"/>
    <w:rsid w:val="00D64739"/>
    <w:rsid w:val="00D65F81"/>
    <w:rsid w:val="00D66DC2"/>
    <w:rsid w:val="00D67032"/>
    <w:rsid w:val="00D704BA"/>
    <w:rsid w:val="00D71ED0"/>
    <w:rsid w:val="00D71F99"/>
    <w:rsid w:val="00D73CA4"/>
    <w:rsid w:val="00D73D71"/>
    <w:rsid w:val="00D74396"/>
    <w:rsid w:val="00D743CF"/>
    <w:rsid w:val="00D752C0"/>
    <w:rsid w:val="00D755C3"/>
    <w:rsid w:val="00D80284"/>
    <w:rsid w:val="00D81823"/>
    <w:rsid w:val="00D81A3A"/>
    <w:rsid w:val="00D81A43"/>
    <w:rsid w:val="00D81F71"/>
    <w:rsid w:val="00D8213D"/>
    <w:rsid w:val="00D849D3"/>
    <w:rsid w:val="00D85A12"/>
    <w:rsid w:val="00D8642D"/>
    <w:rsid w:val="00D86E47"/>
    <w:rsid w:val="00D90A5E"/>
    <w:rsid w:val="00D91A68"/>
    <w:rsid w:val="00D9305E"/>
    <w:rsid w:val="00D95A68"/>
    <w:rsid w:val="00D963BE"/>
    <w:rsid w:val="00D97CB3"/>
    <w:rsid w:val="00DA17C7"/>
    <w:rsid w:val="00DA6A9A"/>
    <w:rsid w:val="00DB1874"/>
    <w:rsid w:val="00DB1EFD"/>
    <w:rsid w:val="00DB3EAF"/>
    <w:rsid w:val="00DB46C6"/>
    <w:rsid w:val="00DB5DB8"/>
    <w:rsid w:val="00DB6987"/>
    <w:rsid w:val="00DB75AE"/>
    <w:rsid w:val="00DC00F6"/>
    <w:rsid w:val="00DC0172"/>
    <w:rsid w:val="00DC3203"/>
    <w:rsid w:val="00DC3C99"/>
    <w:rsid w:val="00DC52F5"/>
    <w:rsid w:val="00DC5FD0"/>
    <w:rsid w:val="00DD0354"/>
    <w:rsid w:val="00DD1FD2"/>
    <w:rsid w:val="00DD2018"/>
    <w:rsid w:val="00DD27D7"/>
    <w:rsid w:val="00DD4304"/>
    <w:rsid w:val="00DD458C"/>
    <w:rsid w:val="00DD5EED"/>
    <w:rsid w:val="00DD72E9"/>
    <w:rsid w:val="00DD7605"/>
    <w:rsid w:val="00DE2020"/>
    <w:rsid w:val="00DE30D7"/>
    <w:rsid w:val="00DE3476"/>
    <w:rsid w:val="00DE497B"/>
    <w:rsid w:val="00DE5B8A"/>
    <w:rsid w:val="00DE7AB5"/>
    <w:rsid w:val="00DE7BEA"/>
    <w:rsid w:val="00DF1830"/>
    <w:rsid w:val="00DF1C1F"/>
    <w:rsid w:val="00DF593A"/>
    <w:rsid w:val="00DF5B84"/>
    <w:rsid w:val="00DF6C15"/>
    <w:rsid w:val="00DF6D5B"/>
    <w:rsid w:val="00DF771B"/>
    <w:rsid w:val="00DF7EE2"/>
    <w:rsid w:val="00E01BAA"/>
    <w:rsid w:val="00E0282A"/>
    <w:rsid w:val="00E02F9B"/>
    <w:rsid w:val="00E03008"/>
    <w:rsid w:val="00E039D2"/>
    <w:rsid w:val="00E03A64"/>
    <w:rsid w:val="00E06711"/>
    <w:rsid w:val="00E07783"/>
    <w:rsid w:val="00E07E14"/>
    <w:rsid w:val="00E07F67"/>
    <w:rsid w:val="00E10A06"/>
    <w:rsid w:val="00E1126F"/>
    <w:rsid w:val="00E14F94"/>
    <w:rsid w:val="00E155B7"/>
    <w:rsid w:val="00E15EE7"/>
    <w:rsid w:val="00E17336"/>
    <w:rsid w:val="00E17D15"/>
    <w:rsid w:val="00E20460"/>
    <w:rsid w:val="00E21D3D"/>
    <w:rsid w:val="00E22B95"/>
    <w:rsid w:val="00E23BFD"/>
    <w:rsid w:val="00E2539D"/>
    <w:rsid w:val="00E26BC3"/>
    <w:rsid w:val="00E30331"/>
    <w:rsid w:val="00E30BB8"/>
    <w:rsid w:val="00E3112B"/>
    <w:rsid w:val="00E31F9C"/>
    <w:rsid w:val="00E33FF2"/>
    <w:rsid w:val="00E34246"/>
    <w:rsid w:val="00E347F3"/>
    <w:rsid w:val="00E35F58"/>
    <w:rsid w:val="00E36EF1"/>
    <w:rsid w:val="00E40488"/>
    <w:rsid w:val="00E425D7"/>
    <w:rsid w:val="00E430C6"/>
    <w:rsid w:val="00E44299"/>
    <w:rsid w:val="00E4512E"/>
    <w:rsid w:val="00E458A2"/>
    <w:rsid w:val="00E50367"/>
    <w:rsid w:val="00E50EC1"/>
    <w:rsid w:val="00E51ABA"/>
    <w:rsid w:val="00E51E09"/>
    <w:rsid w:val="00E524CB"/>
    <w:rsid w:val="00E538C2"/>
    <w:rsid w:val="00E539B5"/>
    <w:rsid w:val="00E53E48"/>
    <w:rsid w:val="00E5779B"/>
    <w:rsid w:val="00E57857"/>
    <w:rsid w:val="00E61864"/>
    <w:rsid w:val="00E62457"/>
    <w:rsid w:val="00E62659"/>
    <w:rsid w:val="00E631C8"/>
    <w:rsid w:val="00E63F86"/>
    <w:rsid w:val="00E640DA"/>
    <w:rsid w:val="00E65456"/>
    <w:rsid w:val="00E65A91"/>
    <w:rsid w:val="00E66188"/>
    <w:rsid w:val="00E664FB"/>
    <w:rsid w:val="00E666B1"/>
    <w:rsid w:val="00E672F0"/>
    <w:rsid w:val="00E70373"/>
    <w:rsid w:val="00E72E40"/>
    <w:rsid w:val="00E73665"/>
    <w:rsid w:val="00E73999"/>
    <w:rsid w:val="00E73BDC"/>
    <w:rsid w:val="00E73E9E"/>
    <w:rsid w:val="00E74840"/>
    <w:rsid w:val="00E81660"/>
    <w:rsid w:val="00E854FE"/>
    <w:rsid w:val="00E906CC"/>
    <w:rsid w:val="00E939A0"/>
    <w:rsid w:val="00E96307"/>
    <w:rsid w:val="00E97377"/>
    <w:rsid w:val="00E97E4E"/>
    <w:rsid w:val="00EA09B8"/>
    <w:rsid w:val="00EA1CC2"/>
    <w:rsid w:val="00EA2D76"/>
    <w:rsid w:val="00EA4644"/>
    <w:rsid w:val="00EA6AEC"/>
    <w:rsid w:val="00EA758A"/>
    <w:rsid w:val="00EB018C"/>
    <w:rsid w:val="00EB096F"/>
    <w:rsid w:val="00EB0EB2"/>
    <w:rsid w:val="00EB199F"/>
    <w:rsid w:val="00EB21A4"/>
    <w:rsid w:val="00EB27C4"/>
    <w:rsid w:val="00EB5094"/>
    <w:rsid w:val="00EB5387"/>
    <w:rsid w:val="00EB565B"/>
    <w:rsid w:val="00EB5C10"/>
    <w:rsid w:val="00EB5FDE"/>
    <w:rsid w:val="00EB7322"/>
    <w:rsid w:val="00EB79B5"/>
    <w:rsid w:val="00EC06DF"/>
    <w:rsid w:val="00EC0FE9"/>
    <w:rsid w:val="00EC198B"/>
    <w:rsid w:val="00EC2388"/>
    <w:rsid w:val="00EC246B"/>
    <w:rsid w:val="00EC2DD3"/>
    <w:rsid w:val="00EC3094"/>
    <w:rsid w:val="00EC426D"/>
    <w:rsid w:val="00EC56EC"/>
    <w:rsid w:val="00EC571B"/>
    <w:rsid w:val="00EC57D7"/>
    <w:rsid w:val="00EC6385"/>
    <w:rsid w:val="00ED147F"/>
    <w:rsid w:val="00ED1DE9"/>
    <w:rsid w:val="00ED23D4"/>
    <w:rsid w:val="00ED412F"/>
    <w:rsid w:val="00ED48D0"/>
    <w:rsid w:val="00ED569E"/>
    <w:rsid w:val="00ED5E0B"/>
    <w:rsid w:val="00ED7F2D"/>
    <w:rsid w:val="00EE1D34"/>
    <w:rsid w:val="00EE227F"/>
    <w:rsid w:val="00EE37B6"/>
    <w:rsid w:val="00EE5953"/>
    <w:rsid w:val="00EE6199"/>
    <w:rsid w:val="00EF0F45"/>
    <w:rsid w:val="00EF2097"/>
    <w:rsid w:val="00EF5BF6"/>
    <w:rsid w:val="00EF60BD"/>
    <w:rsid w:val="00EF7463"/>
    <w:rsid w:val="00EF7971"/>
    <w:rsid w:val="00F002EF"/>
    <w:rsid w:val="00F01EE9"/>
    <w:rsid w:val="00F04900"/>
    <w:rsid w:val="00F04D07"/>
    <w:rsid w:val="00F065A4"/>
    <w:rsid w:val="00F126B9"/>
    <w:rsid w:val="00F12715"/>
    <w:rsid w:val="00F144D5"/>
    <w:rsid w:val="00F146F0"/>
    <w:rsid w:val="00F15039"/>
    <w:rsid w:val="00F15DE7"/>
    <w:rsid w:val="00F1738E"/>
    <w:rsid w:val="00F20FF3"/>
    <w:rsid w:val="00F2162C"/>
    <w:rsid w:val="00F2190B"/>
    <w:rsid w:val="00F228B5"/>
    <w:rsid w:val="00F2389C"/>
    <w:rsid w:val="00F243ED"/>
    <w:rsid w:val="00F25C67"/>
    <w:rsid w:val="00F25FC3"/>
    <w:rsid w:val="00F26BD6"/>
    <w:rsid w:val="00F305AE"/>
    <w:rsid w:val="00F30DFF"/>
    <w:rsid w:val="00F31A12"/>
    <w:rsid w:val="00F32B80"/>
    <w:rsid w:val="00F340EB"/>
    <w:rsid w:val="00F35285"/>
    <w:rsid w:val="00F36099"/>
    <w:rsid w:val="00F36955"/>
    <w:rsid w:val="00F40E0E"/>
    <w:rsid w:val="00F42BA4"/>
    <w:rsid w:val="00F43B9D"/>
    <w:rsid w:val="00F44188"/>
    <w:rsid w:val="00F44D5E"/>
    <w:rsid w:val="00F46BAF"/>
    <w:rsid w:val="00F53A35"/>
    <w:rsid w:val="00F55A3D"/>
    <w:rsid w:val="00F56A39"/>
    <w:rsid w:val="00F5744B"/>
    <w:rsid w:val="00F61209"/>
    <w:rsid w:val="00F6259E"/>
    <w:rsid w:val="00F6272E"/>
    <w:rsid w:val="00F62BCC"/>
    <w:rsid w:val="00F65DD4"/>
    <w:rsid w:val="00F672B2"/>
    <w:rsid w:val="00F71B55"/>
    <w:rsid w:val="00F83973"/>
    <w:rsid w:val="00F85541"/>
    <w:rsid w:val="00F87807"/>
    <w:rsid w:val="00F87FA3"/>
    <w:rsid w:val="00F901FC"/>
    <w:rsid w:val="00F9079C"/>
    <w:rsid w:val="00F915B2"/>
    <w:rsid w:val="00F93D8C"/>
    <w:rsid w:val="00F9421A"/>
    <w:rsid w:val="00F9488F"/>
    <w:rsid w:val="00F95489"/>
    <w:rsid w:val="00F958BD"/>
    <w:rsid w:val="00FA1311"/>
    <w:rsid w:val="00FA3102"/>
    <w:rsid w:val="00FA3E96"/>
    <w:rsid w:val="00FA48D4"/>
    <w:rsid w:val="00FA54FA"/>
    <w:rsid w:val="00FA6975"/>
    <w:rsid w:val="00FA6D39"/>
    <w:rsid w:val="00FA759B"/>
    <w:rsid w:val="00FA7F24"/>
    <w:rsid w:val="00FB227E"/>
    <w:rsid w:val="00FB3A3D"/>
    <w:rsid w:val="00FB3D61"/>
    <w:rsid w:val="00FB44CE"/>
    <w:rsid w:val="00FB5009"/>
    <w:rsid w:val="00FB5E1D"/>
    <w:rsid w:val="00FB60E4"/>
    <w:rsid w:val="00FB76AB"/>
    <w:rsid w:val="00FC1DF0"/>
    <w:rsid w:val="00FC3AAE"/>
    <w:rsid w:val="00FC601E"/>
    <w:rsid w:val="00FC6490"/>
    <w:rsid w:val="00FD01F1"/>
    <w:rsid w:val="00FD03FE"/>
    <w:rsid w:val="00FD0CF8"/>
    <w:rsid w:val="00FD126E"/>
    <w:rsid w:val="00FD2E60"/>
    <w:rsid w:val="00FD3787"/>
    <w:rsid w:val="00FD3C36"/>
    <w:rsid w:val="00FD4D81"/>
    <w:rsid w:val="00FD4DE3"/>
    <w:rsid w:val="00FD7498"/>
    <w:rsid w:val="00FD7FB3"/>
    <w:rsid w:val="00FE383B"/>
    <w:rsid w:val="00FE4713"/>
    <w:rsid w:val="00FF072B"/>
    <w:rsid w:val="00FF1F44"/>
    <w:rsid w:val="00FF225E"/>
    <w:rsid w:val="00FF2414"/>
    <w:rsid w:val="00FF506A"/>
    <w:rsid w:val="00FF52BA"/>
    <w:rsid w:val="00FF5963"/>
    <w:rsid w:val="00FF672C"/>
    <w:rsid w:val="00FF6CE8"/>
    <w:rsid w:val="43B98597"/>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462141"/>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B096F"/>
    <w:pPr>
      <w:spacing w:line="480" w:lineRule="auto"/>
    </w:pPr>
    <w:rPr>
      <w:sz w:val="24"/>
      <w:szCs w:val="24"/>
    </w:rPr>
  </w:style>
  <w:style w:type="paragraph" w:styleId="Heading1">
    <w:name w:val="heading 1"/>
    <w:basedOn w:val="Normal"/>
    <w:next w:val="Paragraph"/>
    <w:link w:val="Heading1Char"/>
    <w:qFormat/>
    <w:rsid w:val="00AE1ED4"/>
    <w:pPr>
      <w:keepNext/>
      <w:spacing w:before="360" w:after="60" w:line="360" w:lineRule="auto"/>
      <w:ind w:right="567"/>
      <w:contextualSpacing/>
      <w:outlineLvl w:val="0"/>
    </w:pPr>
    <w:rPr>
      <w:rFonts w:cs="Arial"/>
      <w:b/>
      <w:bCs/>
      <w:kern w:val="32"/>
      <w:szCs w:val="32"/>
    </w:rPr>
  </w:style>
  <w:style w:type="paragraph" w:styleId="Heading2">
    <w:name w:val="heading 2"/>
    <w:basedOn w:val="Normal"/>
    <w:next w:val="Paragraph"/>
    <w:link w:val="Heading2Char"/>
    <w:qFormat/>
    <w:rsid w:val="008D07FB"/>
    <w:pPr>
      <w:keepNext/>
      <w:spacing w:before="360" w:after="60" w:line="360" w:lineRule="auto"/>
      <w:ind w:right="567"/>
      <w:contextualSpacing/>
      <w:outlineLvl w:val="1"/>
    </w:pPr>
    <w:rPr>
      <w:rFonts w:cs="Arial"/>
      <w:b/>
      <w:bCs/>
      <w:i/>
      <w:iCs/>
      <w:szCs w:val="28"/>
    </w:rPr>
  </w:style>
  <w:style w:type="paragraph" w:styleId="Heading3">
    <w:name w:val="heading 3"/>
    <w:basedOn w:val="Normal"/>
    <w:next w:val="Paragraph"/>
    <w:link w:val="Heading3Char"/>
    <w:qFormat/>
    <w:rsid w:val="00DF7EE2"/>
    <w:pPr>
      <w:keepNext/>
      <w:spacing w:before="360" w:after="60" w:line="360" w:lineRule="auto"/>
      <w:ind w:right="567"/>
      <w:contextualSpacing/>
      <w:outlineLvl w:val="2"/>
    </w:pPr>
    <w:rPr>
      <w:rFonts w:cs="Arial"/>
      <w:bCs/>
      <w:i/>
      <w:szCs w:val="26"/>
    </w:rPr>
  </w:style>
  <w:style w:type="paragraph" w:styleId="Heading4">
    <w:name w:val="heading 4"/>
    <w:basedOn w:val="Paragraph"/>
    <w:next w:val="Newparagraph"/>
    <w:link w:val="Heading4Char"/>
    <w:rsid w:val="00F43B9D"/>
    <w:pPr>
      <w:spacing w:before="360"/>
      <w:outlineLvl w:val="3"/>
    </w:pPr>
    <w:rPr>
      <w:bCs/>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ticletitle">
    <w:name w:val="Article title"/>
    <w:basedOn w:val="Normal"/>
    <w:next w:val="Normal"/>
    <w:qFormat/>
    <w:rsid w:val="0024692A"/>
    <w:pPr>
      <w:spacing w:after="120" w:line="360" w:lineRule="auto"/>
    </w:pPr>
    <w:rPr>
      <w:b/>
      <w:sz w:val="28"/>
    </w:rPr>
  </w:style>
  <w:style w:type="paragraph" w:customStyle="1" w:styleId="Authornames">
    <w:name w:val="Author names"/>
    <w:basedOn w:val="Normal"/>
    <w:next w:val="Normal"/>
    <w:qFormat/>
    <w:rsid w:val="00F04900"/>
    <w:pPr>
      <w:spacing w:before="240" w:line="360" w:lineRule="auto"/>
    </w:pPr>
    <w:rPr>
      <w:sz w:val="28"/>
    </w:rPr>
  </w:style>
  <w:style w:type="paragraph" w:customStyle="1" w:styleId="Affiliation">
    <w:name w:val="Affiliation"/>
    <w:basedOn w:val="Normal"/>
    <w:qFormat/>
    <w:rsid w:val="00F04900"/>
    <w:pPr>
      <w:spacing w:before="240" w:line="360" w:lineRule="auto"/>
    </w:pPr>
    <w:rPr>
      <w:i/>
    </w:rPr>
  </w:style>
  <w:style w:type="paragraph" w:customStyle="1" w:styleId="Receiveddates">
    <w:name w:val="Received dates"/>
    <w:basedOn w:val="Affiliation"/>
    <w:next w:val="Normal"/>
    <w:qFormat/>
    <w:rsid w:val="00CC474B"/>
  </w:style>
  <w:style w:type="paragraph" w:customStyle="1" w:styleId="Abstract">
    <w:name w:val="Abstract"/>
    <w:basedOn w:val="Normal"/>
    <w:next w:val="Keywords"/>
    <w:qFormat/>
    <w:rsid w:val="00310E13"/>
    <w:pPr>
      <w:spacing w:before="360" w:after="300" w:line="360" w:lineRule="auto"/>
      <w:ind w:left="720" w:right="567"/>
    </w:pPr>
    <w:rPr>
      <w:sz w:val="22"/>
    </w:rPr>
  </w:style>
  <w:style w:type="paragraph" w:customStyle="1" w:styleId="Keywords">
    <w:name w:val="Keywords"/>
    <w:basedOn w:val="Normal"/>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al"/>
    <w:qFormat/>
    <w:rsid w:val="00F04900"/>
    <w:pPr>
      <w:spacing w:before="240" w:line="360" w:lineRule="auto"/>
    </w:pPr>
  </w:style>
  <w:style w:type="paragraph" w:customStyle="1" w:styleId="Displayedquotation">
    <w:name w:val="Displayed quotation"/>
    <w:basedOn w:val="Normal"/>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al"/>
    <w:next w:val="Paragraph"/>
    <w:qFormat/>
    <w:rsid w:val="00EF0F45"/>
    <w:pPr>
      <w:tabs>
        <w:tab w:val="center" w:pos="4253"/>
        <w:tab w:val="right" w:pos="8222"/>
      </w:tabs>
      <w:spacing w:before="240" w:after="240"/>
      <w:jc w:val="center"/>
    </w:pPr>
  </w:style>
  <w:style w:type="paragraph" w:customStyle="1" w:styleId="Acknowledgements">
    <w:name w:val="Acknowledgements"/>
    <w:basedOn w:val="Normal"/>
    <w:next w:val="Normal"/>
    <w:qFormat/>
    <w:rsid w:val="00D379A3"/>
    <w:pPr>
      <w:spacing w:before="120" w:line="360" w:lineRule="auto"/>
    </w:pPr>
    <w:rPr>
      <w:sz w:val="22"/>
    </w:rPr>
  </w:style>
  <w:style w:type="paragraph" w:customStyle="1" w:styleId="Tabletitle">
    <w:name w:val="Table title"/>
    <w:basedOn w:val="Normal"/>
    <w:next w:val="Normal"/>
    <w:qFormat/>
    <w:rsid w:val="0031686C"/>
    <w:pPr>
      <w:spacing w:before="240" w:line="360" w:lineRule="auto"/>
    </w:pPr>
  </w:style>
  <w:style w:type="paragraph" w:customStyle="1" w:styleId="Figurecaption">
    <w:name w:val="Figure caption"/>
    <w:basedOn w:val="Normal"/>
    <w:next w:val="Normal"/>
    <w:qFormat/>
    <w:rsid w:val="0031686C"/>
    <w:pPr>
      <w:spacing w:before="240" w:line="360" w:lineRule="auto"/>
    </w:pPr>
  </w:style>
  <w:style w:type="paragraph" w:customStyle="1" w:styleId="Footnotes">
    <w:name w:val="Footnotes"/>
    <w:basedOn w:val="Normal"/>
    <w:qFormat/>
    <w:rsid w:val="006C6936"/>
    <w:pPr>
      <w:spacing w:before="120" w:line="360" w:lineRule="auto"/>
      <w:ind w:left="482" w:hanging="482"/>
      <w:contextualSpacing/>
    </w:pPr>
    <w:rPr>
      <w:sz w:val="22"/>
    </w:rPr>
  </w:style>
  <w:style w:type="paragraph" w:customStyle="1" w:styleId="Notesoncontributors">
    <w:name w:val="Notes on contributors"/>
    <w:basedOn w:val="Normal"/>
    <w:qFormat/>
    <w:rsid w:val="00F04900"/>
    <w:pPr>
      <w:spacing w:before="240" w:line="360" w:lineRule="auto"/>
    </w:pPr>
    <w:rPr>
      <w:sz w:val="22"/>
    </w:rPr>
  </w:style>
  <w:style w:type="paragraph" w:customStyle="1" w:styleId="Normalparagraphstyle">
    <w:name w:val="Normal paragraph style"/>
    <w:basedOn w:val="Normal"/>
    <w:next w:val="Normal"/>
    <w:rsid w:val="00562DEF"/>
  </w:style>
  <w:style w:type="paragraph" w:customStyle="1" w:styleId="Paragraph">
    <w:name w:val="Paragraph"/>
    <w:basedOn w:val="Normal"/>
    <w:next w:val="Newparagraph"/>
    <w:qFormat/>
    <w:rsid w:val="001B7681"/>
    <w:pPr>
      <w:widowControl w:val="0"/>
      <w:spacing w:before="240"/>
    </w:pPr>
  </w:style>
  <w:style w:type="paragraph" w:customStyle="1" w:styleId="Newparagraph">
    <w:name w:val="New paragraph"/>
    <w:basedOn w:val="Normal"/>
    <w:qFormat/>
    <w:rsid w:val="00AE2F8D"/>
    <w:pPr>
      <w:ind w:firstLine="720"/>
    </w:pPr>
  </w:style>
  <w:style w:type="paragraph" w:styleId="NormalIndent">
    <w:name w:val="Normal Indent"/>
    <w:basedOn w:val="Normal"/>
    <w:rsid w:val="00526454"/>
    <w:pPr>
      <w:ind w:left="720"/>
    </w:pPr>
  </w:style>
  <w:style w:type="paragraph" w:customStyle="1" w:styleId="References">
    <w:name w:val="References"/>
    <w:basedOn w:val="Normal"/>
    <w:qFormat/>
    <w:rsid w:val="002C53EE"/>
    <w:pPr>
      <w:spacing w:before="120" w:line="360" w:lineRule="auto"/>
      <w:ind w:left="720" w:hanging="720"/>
      <w:contextualSpacing/>
    </w:pPr>
  </w:style>
  <w:style w:type="paragraph" w:customStyle="1" w:styleId="Subjectcodes">
    <w:name w:val="Subject codes"/>
    <w:basedOn w:val="Keywords"/>
    <w:next w:val="Paragraph"/>
    <w:qFormat/>
    <w:rsid w:val="0000681B"/>
  </w:style>
  <w:style w:type="character" w:customStyle="1" w:styleId="Heading2Char">
    <w:name w:val="Heading 2 Char"/>
    <w:basedOn w:val="DefaultParagraphFont"/>
    <w:link w:val="Heading2"/>
    <w:rsid w:val="008D07FB"/>
    <w:rPr>
      <w:rFonts w:cs="Arial"/>
      <w:b/>
      <w:bCs/>
      <w:i/>
      <w:iCs/>
      <w:sz w:val="24"/>
      <w:szCs w:val="28"/>
    </w:rPr>
  </w:style>
  <w:style w:type="character" w:customStyle="1" w:styleId="Heading1Char">
    <w:name w:val="Heading 1 Char"/>
    <w:basedOn w:val="DefaultParagraphFont"/>
    <w:link w:val="Heading1"/>
    <w:rsid w:val="00AE1ED4"/>
    <w:rPr>
      <w:rFonts w:cs="Arial"/>
      <w:b/>
      <w:bCs/>
      <w:kern w:val="32"/>
      <w:sz w:val="24"/>
      <w:szCs w:val="32"/>
    </w:rPr>
  </w:style>
  <w:style w:type="character" w:customStyle="1" w:styleId="Heading3Char">
    <w:name w:val="Heading 3 Char"/>
    <w:basedOn w:val="DefaultParagraphFont"/>
    <w:link w:val="Heading3"/>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FootnoteText">
    <w:name w:val="footnote text"/>
    <w:aliases w:val="Footnote Text Char Char Char,Footnote Text Char Char,Char,Footnote Text3,Footnote Text1"/>
    <w:basedOn w:val="Normal"/>
    <w:link w:val="FootnoteTextChar"/>
    <w:autoRedefine/>
    <w:uiPriority w:val="99"/>
    <w:rsid w:val="00A83E52"/>
    <w:pPr>
      <w:spacing w:line="240" w:lineRule="auto"/>
      <w:jc w:val="both"/>
    </w:pPr>
    <w:rPr>
      <w:sz w:val="22"/>
      <w:szCs w:val="20"/>
    </w:rPr>
  </w:style>
  <w:style w:type="character" w:customStyle="1" w:styleId="FootnoteTextChar">
    <w:name w:val="Footnote Text Char"/>
    <w:aliases w:val="Footnote Text Char Char Char Char,Footnote Text Char Char Char1,Char Char,Footnote Text3 Char,Footnote Text1 Char"/>
    <w:basedOn w:val="DefaultParagraphFont"/>
    <w:link w:val="FootnoteText"/>
    <w:uiPriority w:val="99"/>
    <w:rsid w:val="00A83E52"/>
    <w:rPr>
      <w:sz w:val="22"/>
    </w:rPr>
  </w:style>
  <w:style w:type="character" w:styleId="FootnoteReference">
    <w:name w:val="footnote reference"/>
    <w:basedOn w:val="DefaultParagraphFont"/>
    <w:uiPriority w:val="99"/>
    <w:rsid w:val="00AF2C92"/>
    <w:rPr>
      <w:vertAlign w:val="superscript"/>
    </w:rPr>
  </w:style>
  <w:style w:type="paragraph" w:styleId="EndnoteText">
    <w:name w:val="endnote text"/>
    <w:basedOn w:val="Normal"/>
    <w:link w:val="EndnoteTextChar"/>
    <w:autoRedefine/>
    <w:rsid w:val="006C19B2"/>
    <w:pPr>
      <w:ind w:left="284" w:hanging="284"/>
    </w:pPr>
    <w:rPr>
      <w:sz w:val="22"/>
      <w:szCs w:val="20"/>
    </w:rPr>
  </w:style>
  <w:style w:type="character" w:customStyle="1" w:styleId="EndnoteTextChar">
    <w:name w:val="Endnote Text Char"/>
    <w:basedOn w:val="DefaultParagraphFont"/>
    <w:link w:val="EndnoteText"/>
    <w:rsid w:val="006C19B2"/>
    <w:rPr>
      <w:sz w:val="22"/>
    </w:rPr>
  </w:style>
  <w:style w:type="character" w:styleId="EndnoteReference">
    <w:name w:val="endnote reference"/>
    <w:basedOn w:val="DefaultParagraphFont"/>
    <w:rsid w:val="00EC571B"/>
    <w:rPr>
      <w:vertAlign w:val="superscript"/>
    </w:rPr>
  </w:style>
  <w:style w:type="character" w:customStyle="1" w:styleId="Heading4Char">
    <w:name w:val="Heading 4 Char"/>
    <w:basedOn w:val="DefaultParagraphFont"/>
    <w:link w:val="Heading4"/>
    <w:rsid w:val="00F43B9D"/>
    <w:rPr>
      <w:bCs/>
      <w:sz w:val="24"/>
      <w:szCs w:val="28"/>
    </w:rPr>
  </w:style>
  <w:style w:type="paragraph" w:styleId="Header">
    <w:name w:val="header"/>
    <w:basedOn w:val="Normal"/>
    <w:link w:val="HeaderChar"/>
    <w:rsid w:val="003F193A"/>
    <w:pPr>
      <w:tabs>
        <w:tab w:val="center" w:pos="4320"/>
        <w:tab w:val="right" w:pos="8640"/>
      </w:tabs>
      <w:spacing w:after="120" w:line="240" w:lineRule="auto"/>
      <w:contextualSpacing/>
    </w:pPr>
  </w:style>
  <w:style w:type="character" w:customStyle="1" w:styleId="HeaderChar">
    <w:name w:val="Header Char"/>
    <w:basedOn w:val="DefaultParagraphFont"/>
    <w:link w:val="Header"/>
    <w:rsid w:val="003F193A"/>
    <w:rPr>
      <w:rFonts w:eastAsia="Times New Roman"/>
      <w:sz w:val="24"/>
      <w:szCs w:val="24"/>
      <w:lang w:eastAsia="en-GB"/>
    </w:rPr>
  </w:style>
  <w:style w:type="paragraph" w:styleId="Footer">
    <w:name w:val="footer"/>
    <w:basedOn w:val="Normal"/>
    <w:link w:val="FooterChar"/>
    <w:rsid w:val="00AE6A21"/>
    <w:pPr>
      <w:tabs>
        <w:tab w:val="center" w:pos="4320"/>
        <w:tab w:val="right" w:pos="8640"/>
      </w:tabs>
      <w:spacing w:before="240" w:line="240" w:lineRule="auto"/>
      <w:contextualSpacing/>
    </w:pPr>
  </w:style>
  <w:style w:type="character" w:customStyle="1" w:styleId="FooterChar">
    <w:name w:val="Footer Char"/>
    <w:basedOn w:val="DefaultParagraphFont"/>
    <w:link w:val="Footer"/>
    <w:rsid w:val="00AE6A21"/>
    <w:rPr>
      <w:sz w:val="24"/>
      <w:szCs w:val="24"/>
    </w:rPr>
  </w:style>
  <w:style w:type="paragraph" w:customStyle="1" w:styleId="Heading4Paragraph">
    <w:name w:val="Heading 4 + Paragraph"/>
    <w:basedOn w:val="Paragraph"/>
    <w:next w:val="Newparagraph"/>
    <w:qFormat/>
    <w:rsid w:val="00AE1ED4"/>
    <w:pPr>
      <w:widowControl/>
      <w:spacing w:before="360"/>
    </w:pPr>
  </w:style>
  <w:style w:type="character" w:styleId="Hyperlink">
    <w:name w:val="Hyperlink"/>
    <w:basedOn w:val="DefaultParagraphFont"/>
    <w:unhideWhenUsed/>
    <w:rsid w:val="00190D40"/>
    <w:rPr>
      <w:color w:val="0000FF" w:themeColor="hyperlink"/>
      <w:u w:val="single"/>
    </w:rPr>
  </w:style>
  <w:style w:type="character" w:styleId="UnresolvedMention">
    <w:name w:val="Unresolved Mention"/>
    <w:basedOn w:val="DefaultParagraphFont"/>
    <w:uiPriority w:val="99"/>
    <w:semiHidden/>
    <w:unhideWhenUsed/>
    <w:rsid w:val="00190D40"/>
    <w:rPr>
      <w:color w:val="605E5C"/>
      <w:shd w:val="clear" w:color="auto" w:fill="E1DFDD"/>
    </w:rPr>
  </w:style>
  <w:style w:type="paragraph" w:styleId="CommentText">
    <w:name w:val="annotation text"/>
    <w:basedOn w:val="Normal"/>
    <w:link w:val="CommentTextChar"/>
    <w:semiHidden/>
    <w:unhideWhenUsed/>
    <w:rsid w:val="00283C1D"/>
    <w:pPr>
      <w:spacing w:line="240" w:lineRule="auto"/>
    </w:pPr>
    <w:rPr>
      <w:sz w:val="20"/>
      <w:szCs w:val="20"/>
    </w:rPr>
  </w:style>
  <w:style w:type="character" w:customStyle="1" w:styleId="CommentTextChar">
    <w:name w:val="Comment Text Char"/>
    <w:basedOn w:val="DefaultParagraphFont"/>
    <w:link w:val="CommentText"/>
    <w:semiHidden/>
    <w:rsid w:val="00283C1D"/>
  </w:style>
  <w:style w:type="character" w:styleId="CommentReference">
    <w:name w:val="annotation reference"/>
    <w:basedOn w:val="DefaultParagraphFont"/>
    <w:uiPriority w:val="99"/>
    <w:semiHidden/>
    <w:unhideWhenUsed/>
    <w:rsid w:val="00283C1D"/>
    <w:rPr>
      <w:sz w:val="16"/>
      <w:szCs w:val="16"/>
    </w:rPr>
  </w:style>
  <w:style w:type="character" w:styleId="PageNumber">
    <w:name w:val="page number"/>
    <w:basedOn w:val="DefaultParagraphFont"/>
    <w:semiHidden/>
    <w:unhideWhenUsed/>
    <w:rsid w:val="00AA5AD8"/>
  </w:style>
  <w:style w:type="paragraph" w:styleId="Revision">
    <w:name w:val="Revision"/>
    <w:hidden/>
    <w:semiHidden/>
    <w:rsid w:val="00AA5AD8"/>
    <w:rPr>
      <w:sz w:val="24"/>
      <w:szCs w:val="24"/>
    </w:rPr>
  </w:style>
  <w:style w:type="character" w:styleId="FollowedHyperlink">
    <w:name w:val="FollowedHyperlink"/>
    <w:basedOn w:val="DefaultParagraphFont"/>
    <w:semiHidden/>
    <w:unhideWhenUsed/>
    <w:rsid w:val="004A2A0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074053">
      <w:bodyDiv w:val="1"/>
      <w:marLeft w:val="0"/>
      <w:marRight w:val="0"/>
      <w:marTop w:val="0"/>
      <w:marBottom w:val="0"/>
      <w:divBdr>
        <w:top w:val="none" w:sz="0" w:space="0" w:color="auto"/>
        <w:left w:val="none" w:sz="0" w:space="0" w:color="auto"/>
        <w:bottom w:val="none" w:sz="0" w:space="0" w:color="auto"/>
        <w:right w:val="none" w:sz="0" w:space="0" w:color="auto"/>
      </w:divBdr>
    </w:div>
    <w:div w:id="86464884">
      <w:bodyDiv w:val="1"/>
      <w:marLeft w:val="0"/>
      <w:marRight w:val="0"/>
      <w:marTop w:val="0"/>
      <w:marBottom w:val="0"/>
      <w:divBdr>
        <w:top w:val="none" w:sz="0" w:space="0" w:color="auto"/>
        <w:left w:val="none" w:sz="0" w:space="0" w:color="auto"/>
        <w:bottom w:val="none" w:sz="0" w:space="0" w:color="auto"/>
        <w:right w:val="none" w:sz="0" w:space="0" w:color="auto"/>
      </w:divBdr>
    </w:div>
    <w:div w:id="397703028">
      <w:bodyDiv w:val="1"/>
      <w:marLeft w:val="0"/>
      <w:marRight w:val="0"/>
      <w:marTop w:val="0"/>
      <w:marBottom w:val="0"/>
      <w:divBdr>
        <w:top w:val="none" w:sz="0" w:space="0" w:color="auto"/>
        <w:left w:val="none" w:sz="0" w:space="0" w:color="auto"/>
        <w:bottom w:val="none" w:sz="0" w:space="0" w:color="auto"/>
        <w:right w:val="none" w:sz="0" w:space="0" w:color="auto"/>
      </w:divBdr>
    </w:div>
    <w:div w:id="701632131">
      <w:bodyDiv w:val="1"/>
      <w:marLeft w:val="0"/>
      <w:marRight w:val="0"/>
      <w:marTop w:val="0"/>
      <w:marBottom w:val="0"/>
      <w:divBdr>
        <w:top w:val="none" w:sz="0" w:space="0" w:color="auto"/>
        <w:left w:val="none" w:sz="0" w:space="0" w:color="auto"/>
        <w:bottom w:val="none" w:sz="0" w:space="0" w:color="auto"/>
        <w:right w:val="none" w:sz="0" w:space="0" w:color="auto"/>
      </w:divBdr>
    </w:div>
    <w:div w:id="800658377">
      <w:bodyDiv w:val="1"/>
      <w:marLeft w:val="0"/>
      <w:marRight w:val="0"/>
      <w:marTop w:val="0"/>
      <w:marBottom w:val="0"/>
      <w:divBdr>
        <w:top w:val="none" w:sz="0" w:space="0" w:color="auto"/>
        <w:left w:val="none" w:sz="0" w:space="0" w:color="auto"/>
        <w:bottom w:val="none" w:sz="0" w:space="0" w:color="auto"/>
        <w:right w:val="none" w:sz="0" w:space="0" w:color="auto"/>
      </w:divBdr>
    </w:div>
    <w:div w:id="909926053">
      <w:bodyDiv w:val="1"/>
      <w:marLeft w:val="0"/>
      <w:marRight w:val="0"/>
      <w:marTop w:val="0"/>
      <w:marBottom w:val="0"/>
      <w:divBdr>
        <w:top w:val="none" w:sz="0" w:space="0" w:color="auto"/>
        <w:left w:val="none" w:sz="0" w:space="0" w:color="auto"/>
        <w:bottom w:val="none" w:sz="0" w:space="0" w:color="auto"/>
        <w:right w:val="none" w:sz="0" w:space="0" w:color="auto"/>
      </w:divBdr>
    </w:div>
    <w:div w:id="1279800058">
      <w:bodyDiv w:val="1"/>
      <w:marLeft w:val="0"/>
      <w:marRight w:val="0"/>
      <w:marTop w:val="0"/>
      <w:marBottom w:val="0"/>
      <w:divBdr>
        <w:top w:val="none" w:sz="0" w:space="0" w:color="auto"/>
        <w:left w:val="none" w:sz="0" w:space="0" w:color="auto"/>
        <w:bottom w:val="none" w:sz="0" w:space="0" w:color="auto"/>
        <w:right w:val="none" w:sz="0" w:space="0" w:color="auto"/>
      </w:divBdr>
    </w:div>
    <w:div w:id="1362631677">
      <w:bodyDiv w:val="1"/>
      <w:marLeft w:val="0"/>
      <w:marRight w:val="0"/>
      <w:marTop w:val="0"/>
      <w:marBottom w:val="0"/>
      <w:divBdr>
        <w:top w:val="none" w:sz="0" w:space="0" w:color="auto"/>
        <w:left w:val="none" w:sz="0" w:space="0" w:color="auto"/>
        <w:bottom w:val="none" w:sz="0" w:space="0" w:color="auto"/>
        <w:right w:val="none" w:sz="0" w:space="0" w:color="auto"/>
      </w:divBdr>
    </w:div>
    <w:div w:id="1471288211">
      <w:bodyDiv w:val="1"/>
      <w:marLeft w:val="0"/>
      <w:marRight w:val="0"/>
      <w:marTop w:val="0"/>
      <w:marBottom w:val="0"/>
      <w:divBdr>
        <w:top w:val="none" w:sz="0" w:space="0" w:color="auto"/>
        <w:left w:val="none" w:sz="0" w:space="0" w:color="auto"/>
        <w:bottom w:val="none" w:sz="0" w:space="0" w:color="auto"/>
        <w:right w:val="none" w:sz="0" w:space="0" w:color="auto"/>
      </w:divBdr>
    </w:div>
    <w:div w:id="1527062031">
      <w:bodyDiv w:val="1"/>
      <w:marLeft w:val="0"/>
      <w:marRight w:val="0"/>
      <w:marTop w:val="0"/>
      <w:marBottom w:val="0"/>
      <w:divBdr>
        <w:top w:val="none" w:sz="0" w:space="0" w:color="auto"/>
        <w:left w:val="none" w:sz="0" w:space="0" w:color="auto"/>
        <w:bottom w:val="none" w:sz="0" w:space="0" w:color="auto"/>
        <w:right w:val="none" w:sz="0" w:space="0" w:color="auto"/>
      </w:divBdr>
    </w:div>
    <w:div w:id="1708142061">
      <w:bodyDiv w:val="1"/>
      <w:marLeft w:val="0"/>
      <w:marRight w:val="0"/>
      <w:marTop w:val="0"/>
      <w:marBottom w:val="0"/>
      <w:divBdr>
        <w:top w:val="none" w:sz="0" w:space="0" w:color="auto"/>
        <w:left w:val="none" w:sz="0" w:space="0" w:color="auto"/>
        <w:bottom w:val="none" w:sz="0" w:space="0" w:color="auto"/>
        <w:right w:val="none" w:sz="0" w:space="0" w:color="auto"/>
      </w:divBdr>
    </w:div>
    <w:div w:id="1988971754">
      <w:bodyDiv w:val="1"/>
      <w:marLeft w:val="0"/>
      <w:marRight w:val="0"/>
      <w:marTop w:val="0"/>
      <w:marBottom w:val="0"/>
      <w:divBdr>
        <w:top w:val="none" w:sz="0" w:space="0" w:color="auto"/>
        <w:left w:val="none" w:sz="0" w:space="0" w:color="auto"/>
        <w:bottom w:val="none" w:sz="0" w:space="0" w:color="auto"/>
        <w:right w:val="none" w:sz="0" w:space="0" w:color="auto"/>
      </w:divBdr>
    </w:div>
    <w:div w:id="2094737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080/10345329.2025.2602988"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linkedin.com/in/celine-van-golde-8b133296"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linkedin.com/in/caterina-gattinara-2b47831b2" TargetMode="External"/><Relationship Id="rId4" Type="http://schemas.openxmlformats.org/officeDocument/2006/relationships/settings" Target="settings.xml"/><Relationship Id="rId9" Type="http://schemas.openxmlformats.org/officeDocument/2006/relationships/hyperlink" Target="mailto:caterina.gattinara@sydney.edu.au" TargetMode="External"/><Relationship Id="rId14" Type="http://schemas.openxmlformats.org/officeDocument/2006/relationships/fontTable" Target="fontTable.xml"/></Relationships>
</file>

<file path=word/_rels/endnotes.xml.rels><?xml version="1.0" encoding="UTF-8" standalone="yes"?>
<Relationships xmlns="http://schemas.openxmlformats.org/package/2006/relationships"><Relationship Id="rId13" Type="http://schemas.openxmlformats.org/officeDocument/2006/relationships/hyperlink" Target="https://doi.org/10.1080/1068316X.2018.1519828" TargetMode="External"/><Relationship Id="rId18" Type="http://schemas.openxmlformats.org/officeDocument/2006/relationships/hyperlink" Target="https://www.ncoss.org.au/nsw-budget-2020-21-analysis-domestic-violence/" TargetMode="External"/><Relationship Id="rId26" Type="http://schemas.openxmlformats.org/officeDocument/2006/relationships/hyperlink" Target="https://doi.org/10.1080/10345329.2024.2369470" TargetMode="External"/><Relationship Id="rId3" Type="http://schemas.openxmlformats.org/officeDocument/2006/relationships/hyperlink" Target="https://doi.org/10.5455/msm.2017.29.109-113" TargetMode="External"/><Relationship Id="rId21" Type="http://schemas.openxmlformats.org/officeDocument/2006/relationships/hyperlink" Target="https://doi.org/10.1002/acp.3094" TargetMode="External"/><Relationship Id="rId34" Type="http://schemas.openxmlformats.org/officeDocument/2006/relationships/hyperlink" Target="https://doi.org/10.1111/1467-8462.12525" TargetMode="External"/><Relationship Id="rId7" Type="http://schemas.openxmlformats.org/officeDocument/2006/relationships/hyperlink" Target="https://doi.org/10.1002/acp.2880" TargetMode="External"/><Relationship Id="rId12" Type="http://schemas.openxmlformats.org/officeDocument/2006/relationships/hyperlink" Target="https://doi.org/10.1177/0261927X13489301" TargetMode="External"/><Relationship Id="rId17" Type="http://schemas.openxmlformats.org/officeDocument/2006/relationships/hyperlink" Target="https://doi.org/10.1037/law0000353" TargetMode="External"/><Relationship Id="rId25" Type="http://schemas.openxmlformats.org/officeDocument/2006/relationships/hyperlink" Target="https://doi.org/10.1037/1089-2680.9.1.3" TargetMode="External"/><Relationship Id="rId33" Type="http://schemas.openxmlformats.org/officeDocument/2006/relationships/hyperlink" Target="https://doi.org/10.1891/0886-6708.VV-D-14-00002" TargetMode="External"/><Relationship Id="rId2" Type="http://schemas.openxmlformats.org/officeDocument/2006/relationships/hyperlink" Target="https://www.abs.gov.au/statistics/people/crime-and-justice/personal-safety-australia/latest-release" TargetMode="External"/><Relationship Id="rId16" Type="http://schemas.openxmlformats.org/officeDocument/2006/relationships/hyperlink" Target="https://doi.org/10.1037/bul0000206" TargetMode="External"/><Relationship Id="rId20" Type="http://schemas.openxmlformats.org/officeDocument/2006/relationships/hyperlink" Target="https://doi.org/10.1007/978-3-319-43083-6_3" TargetMode="External"/><Relationship Id="rId29" Type="http://schemas.openxmlformats.org/officeDocument/2006/relationships/hyperlink" Target="https://doi.org/10.1016/j.avb.2019.03.007" TargetMode="External"/><Relationship Id="rId1" Type="http://schemas.openxmlformats.org/officeDocument/2006/relationships/hyperlink" Target="https://doi.org/10.1007/s10979-009-9208-6" TargetMode="External"/><Relationship Id="rId6" Type="http://schemas.openxmlformats.org/officeDocument/2006/relationships/hyperlink" Target="https://doi.org/10.1371/journal.pone.0225040" TargetMode="External"/><Relationship Id="rId11" Type="http://schemas.openxmlformats.org/officeDocument/2006/relationships/hyperlink" Target="https://doi.org/10.1002/acp.842" TargetMode="External"/><Relationship Id="rId24" Type="http://schemas.openxmlformats.org/officeDocument/2006/relationships/hyperlink" Target="https://doi.org/10.1002/bsl.502" TargetMode="External"/><Relationship Id="rId32" Type="http://schemas.openxmlformats.org/officeDocument/2006/relationships/hyperlink" Target="https://doi.org/10.1080/10439463.2015.1039002" TargetMode="External"/><Relationship Id="rId5" Type="http://schemas.openxmlformats.org/officeDocument/2006/relationships/hyperlink" Target="https://doi.org/10.1037/0022-3514.39.5.752" TargetMode="External"/><Relationship Id="rId15" Type="http://schemas.openxmlformats.org/officeDocument/2006/relationships/hyperlink" Target="https://www.police.nsw.gov.au/__data/assets/pdf_file/0003/531714/DVEC_Brochure.pdf" TargetMode="External"/><Relationship Id="rId23" Type="http://schemas.openxmlformats.org/officeDocument/2006/relationships/hyperlink" Target="https://doi.org/10.1146/annurev-lawsocsci-021721-072326" TargetMode="External"/><Relationship Id="rId28" Type="http://schemas.openxmlformats.org/officeDocument/2006/relationships/hyperlink" Target="https://doi.org/10.1080/1068316X.2025.2487189" TargetMode="External"/><Relationship Id="rId10" Type="http://schemas.openxmlformats.org/officeDocument/2006/relationships/hyperlink" Target="https://doi.org/10.1016/j.jarmac.2017.07.007" TargetMode="External"/><Relationship Id="rId19" Type="http://schemas.openxmlformats.org/officeDocument/2006/relationships/hyperlink" Target="https://www.wlsnsw.org.au/wp-content/uploads/DVEC-external-summary.pdf" TargetMode="External"/><Relationship Id="rId31" Type="http://schemas.openxmlformats.org/officeDocument/2006/relationships/hyperlink" Target="https://doi.org/10.1007/s10979-006-9024-1" TargetMode="External"/><Relationship Id="rId4" Type="http://schemas.openxmlformats.org/officeDocument/2006/relationships/hyperlink" Target="https://doi.org/10.1080/1068316X.2018.1467910" TargetMode="External"/><Relationship Id="rId9" Type="http://schemas.openxmlformats.org/officeDocument/2006/relationships/hyperlink" Target="https://doi.org/10.1177/10778012231185541" TargetMode="External"/><Relationship Id="rId14" Type="http://schemas.openxmlformats.org/officeDocument/2006/relationships/hyperlink" Target="https://doi.org/10.1177/1362480616684194" TargetMode="External"/><Relationship Id="rId22" Type="http://schemas.openxmlformats.org/officeDocument/2006/relationships/hyperlink" Target="https://doi.org/10.1038/nrn2317" TargetMode="External"/><Relationship Id="rId27" Type="http://schemas.openxmlformats.org/officeDocument/2006/relationships/hyperlink" Target="https://doi.org/10.%201080/10345329.2025.2517943" TargetMode="External"/><Relationship Id="rId30" Type="http://schemas.openxmlformats.org/officeDocument/2006/relationships/hyperlink" Target="https://doi.org/10.1177/0886260518817065" TargetMode="External"/><Relationship Id="rId8" Type="http://schemas.openxmlformats.org/officeDocument/2006/relationships/hyperlink" Target="https://doi.org/10.1093/bjc/azae086"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cati/Downloads/TF_Template_Word_Windows_2016.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02914E-4C3A-4163-A6C9-332A453E9DC3}">
  <ds:schemaRefs>
    <ds:schemaRef ds:uri="http://schemas.openxmlformats.org/officeDocument/2006/bibliography"/>
  </ds:schemaRefs>
</ds:datastoreItem>
</file>

<file path=docMetadata/LabelInfo.xml><?xml version="1.0" encoding="utf-8"?>
<clbl:labelList xmlns:clbl="http://schemas.microsoft.com/office/2020/mipLabelMetadata">
  <clbl:label id="{82b3e37e-8171-485d-b10b-38dae7ed14a8}" enabled="0" method="" siteId="{82b3e37e-8171-485d-b10b-38dae7ed14a8}" removed="1"/>
</clbl:labelList>
</file>

<file path=docProps/app.xml><?xml version="1.0" encoding="utf-8"?>
<Properties xmlns="http://schemas.openxmlformats.org/officeDocument/2006/extended-properties" xmlns:vt="http://schemas.openxmlformats.org/officeDocument/2006/docPropsVTypes">
  <Template>TF_Template_Word_Windows_2016.dotx</Template>
  <TotalTime>0</TotalTime>
  <Pages>18</Pages>
  <Words>5502</Words>
  <Characters>32739</Characters>
  <Application>Microsoft Office Word</Application>
  <DocSecurity>0</DocSecurity>
  <Lines>481</Lines>
  <Paragraphs>64</Paragraphs>
  <ScaleCrop>false</ScaleCrop>
  <HeadingPairs>
    <vt:vector size="2" baseType="variant">
      <vt:variant>
        <vt:lpstr>Title</vt:lpstr>
      </vt:variant>
      <vt:variant>
        <vt:i4>1</vt:i4>
      </vt:variant>
    </vt:vector>
  </HeadingPairs>
  <TitlesOfParts>
    <vt:vector size="1" baseType="lpstr">
      <vt:lpstr>TF_Template_Word_Windows_2016</vt:lpstr>
    </vt:vector>
  </TitlesOfParts>
  <Manager/>
  <Company/>
  <LinksUpToDate>false</LinksUpToDate>
  <CharactersWithSpaces>38177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TF_Template_Word_Windows_2016</dc:title>
  <dc:creator/>
  <cp:lastModifiedBy/>
  <cp:revision>1</cp:revision>
  <cp:lastPrinted>2011-07-22T14:54:00Z</cp:lastPrinted>
  <dcterms:created xsi:type="dcterms:W3CDTF">2026-01-07T04:57:00Z</dcterms:created>
  <dcterms:modified xsi:type="dcterms:W3CDTF">2026-01-07T04:57:00Z</dcterms:modified>
</cp:coreProperties>
</file>