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3FCCEF7" w14:textId="7B9E3EBC" w:rsidR="00F71310" w:rsidRDefault="00F71310" w:rsidP="00E73164">
      <w:pPr>
        <w:jc w:val="center"/>
        <w:rPr>
          <w:b/>
          <w:bCs/>
        </w:rPr>
      </w:pPr>
      <w:r>
        <w:rPr>
          <w:b/>
          <w:bCs/>
        </w:rPr>
        <w:t xml:space="preserve">FREEDOM </w:t>
      </w:r>
      <w:r w:rsidR="000907D3">
        <w:rPr>
          <w:b/>
          <w:bCs/>
        </w:rPr>
        <w:t>AS</w:t>
      </w:r>
      <w:r>
        <w:rPr>
          <w:b/>
          <w:bCs/>
        </w:rPr>
        <w:t xml:space="preserve"> FARCE: OR, WHO GETS TO BE FREE?</w:t>
      </w:r>
    </w:p>
    <w:p w14:paraId="5B28E157" w14:textId="45EA6256" w:rsidR="004D4E4E" w:rsidRDefault="003D3EDE" w:rsidP="004D4E4E">
      <w:pPr>
        <w:jc w:val="center"/>
        <w:rPr>
          <w:sz w:val="22"/>
          <w:szCs w:val="22"/>
        </w:rPr>
      </w:pPr>
      <w:r>
        <w:rPr>
          <w:sz w:val="22"/>
          <w:szCs w:val="22"/>
        </w:rPr>
        <w:t xml:space="preserve">BY </w:t>
      </w:r>
      <w:r w:rsidR="00325EA1">
        <w:rPr>
          <w:sz w:val="22"/>
          <w:szCs w:val="22"/>
        </w:rPr>
        <w:t>GEORGE APORIA</w:t>
      </w:r>
      <w:r w:rsidR="00080AA8">
        <w:rPr>
          <w:rStyle w:val="FootnoteReference"/>
          <w:sz w:val="22"/>
          <w:szCs w:val="22"/>
        </w:rPr>
        <w:footnoteReference w:customMarkFollows="1" w:id="1"/>
        <w:t>*</w:t>
      </w:r>
    </w:p>
    <w:p w14:paraId="5F31F094" w14:textId="41F0DBCD" w:rsidR="003D3EDE" w:rsidRPr="003D3EDE" w:rsidRDefault="00681E56" w:rsidP="004D4E4E">
      <w:pPr>
        <w:jc w:val="center"/>
        <w:rPr>
          <w:i/>
          <w:iCs/>
        </w:rPr>
      </w:pPr>
      <w:r>
        <w:rPr>
          <w:i/>
          <w:iCs/>
        </w:rPr>
        <w:t>PROLOGUE</w:t>
      </w:r>
      <w:r w:rsidR="003D3EDE">
        <w:rPr>
          <w:i/>
          <w:iCs/>
        </w:rPr>
        <w:t>.</w:t>
      </w:r>
    </w:p>
    <w:p w14:paraId="649CA87A" w14:textId="5D21B772" w:rsidR="00F71310" w:rsidRDefault="00F71310" w:rsidP="00F71310">
      <w:pPr>
        <w:spacing w:line="276" w:lineRule="auto"/>
        <w:jc w:val="both"/>
      </w:pPr>
      <w:r w:rsidRPr="00097C39">
        <w:t xml:space="preserve">It is thanks to the principles of academic freedom—and all the privileges I am subsequently afforded—that I am able to write, without shame or fear, that </w:t>
      </w:r>
      <w:r w:rsidR="009D09ED">
        <w:t>those</w:t>
      </w:r>
      <w:r w:rsidRPr="00097C39">
        <w:t xml:space="preserve"> principles of academic freedom are a farce. </w:t>
      </w:r>
    </w:p>
    <w:p w14:paraId="0D6C3F51" w14:textId="668E2367" w:rsidR="0085087D" w:rsidRPr="000D7D2C" w:rsidRDefault="00FA5586" w:rsidP="00292EF7">
      <w:pPr>
        <w:spacing w:line="276" w:lineRule="auto"/>
        <w:jc w:val="both"/>
        <w:rPr>
          <w:i/>
          <w:iCs/>
        </w:rPr>
      </w:pPr>
      <w:r>
        <w:t>Academic freedom</w:t>
      </w:r>
      <w:r w:rsidR="00292EF7">
        <w:t xml:space="preserve"> is </w:t>
      </w:r>
      <w:r w:rsidR="004A7501">
        <w:t>an illusion</w:t>
      </w:r>
      <w:r w:rsidR="00052172">
        <w:t>,</w:t>
      </w:r>
      <w:r w:rsidR="00292EF7">
        <w:t xml:space="preserve"> </w:t>
      </w:r>
      <w:r w:rsidR="004A7501">
        <w:t>manifest</w:t>
      </w:r>
      <w:r w:rsidR="00C155DC">
        <w:t>ing</w:t>
      </w:r>
      <w:r w:rsidR="004A7501">
        <w:t xml:space="preserve"> as</w:t>
      </w:r>
      <w:r w:rsidR="001C3C27" w:rsidRPr="00097C39">
        <w:t xml:space="preserve"> a creature</w:t>
      </w:r>
      <w:r w:rsidR="001B07AD" w:rsidRPr="00097C39">
        <w:t xml:space="preserve"> slouching down the halls of Fisher Library—through the </w:t>
      </w:r>
      <w:r w:rsidR="003560CA">
        <w:t>sagging</w:t>
      </w:r>
      <w:r w:rsidR="001B07AD" w:rsidRPr="00097C39">
        <w:t xml:space="preserve"> shelves, </w:t>
      </w:r>
      <w:r w:rsidR="00EC27CE" w:rsidRPr="00097C39">
        <w:t>bowing</w:t>
      </w:r>
      <w:r w:rsidR="001B07AD" w:rsidRPr="00097C39">
        <w:t xml:space="preserve"> to rest amid the sleeping students unfurled on couches at midday</w:t>
      </w:r>
      <w:r w:rsidR="00143852" w:rsidRPr="00097C39">
        <w:t xml:space="preserve">. </w:t>
      </w:r>
      <w:r w:rsidR="00F97205">
        <w:t>Academic f</w:t>
      </w:r>
      <w:r w:rsidR="00292EF7">
        <w:t xml:space="preserve">reedom </w:t>
      </w:r>
      <w:r w:rsidR="0011446C">
        <w:t xml:space="preserve">is </w:t>
      </w:r>
      <w:r w:rsidR="00292EF7">
        <w:t>the communication of</w:t>
      </w:r>
      <w:r w:rsidR="00F71310" w:rsidRPr="00097C39">
        <w:t xml:space="preserve"> the mildly controversial, </w:t>
      </w:r>
      <w:r w:rsidR="003560CA">
        <w:t xml:space="preserve">of </w:t>
      </w:r>
      <w:r w:rsidR="00292EF7">
        <w:t>those</w:t>
      </w:r>
      <w:r w:rsidR="00F71310" w:rsidRPr="00097C39">
        <w:t xml:space="preserve"> almost-liberating statement</w:t>
      </w:r>
      <w:r w:rsidR="00292EF7">
        <w:t>s</w:t>
      </w:r>
      <w:r w:rsidR="008D09BB">
        <w:t>,</w:t>
      </w:r>
      <w:r w:rsidR="00F71310" w:rsidRPr="00097C39">
        <w:t xml:space="preserve"> carefully framed and </w:t>
      </w:r>
      <w:r w:rsidR="00230F97">
        <w:t>folded</w:t>
      </w:r>
      <w:r w:rsidR="00F71310" w:rsidRPr="00097C39">
        <w:t xml:space="preserve"> </w:t>
      </w:r>
      <w:r w:rsidR="00230F97">
        <w:t>between</w:t>
      </w:r>
      <w:r w:rsidR="00F71310" w:rsidRPr="00097C39">
        <w:t xml:space="preserve"> margins without ever managing to be uncomfortable or unpalatable</w:t>
      </w:r>
      <w:r w:rsidR="006866DB">
        <w:t>.</w:t>
      </w:r>
      <w:r w:rsidR="00F71310" w:rsidRPr="00097C39">
        <w:t xml:space="preserve"> </w:t>
      </w:r>
      <w:r w:rsidR="00F97205">
        <w:t>Academic f</w:t>
      </w:r>
      <w:r w:rsidR="00F71310" w:rsidRPr="00097C39">
        <w:t xml:space="preserve">reedom </w:t>
      </w:r>
      <w:r w:rsidR="006866DB">
        <w:t xml:space="preserve">is a right to be </w:t>
      </w:r>
      <w:r w:rsidR="00B76865">
        <w:t xml:space="preserve">free </w:t>
      </w:r>
      <w:r w:rsidR="006866DB">
        <w:t>only</w:t>
      </w:r>
      <w:r w:rsidR="00F71310" w:rsidRPr="00097C39">
        <w:t xml:space="preserve"> within the always already restricted </w:t>
      </w:r>
      <w:r w:rsidR="00147488" w:rsidRPr="00097C39">
        <w:t xml:space="preserve">English </w:t>
      </w:r>
      <w:r w:rsidR="00F71310" w:rsidRPr="00097C39">
        <w:t xml:space="preserve">system of signs and symbols and syntactical consistency. To </w:t>
      </w:r>
      <w:r w:rsidR="00F71310" w:rsidRPr="003300EB">
        <w:rPr>
          <w:i/>
          <w:iCs/>
        </w:rPr>
        <w:t>freely</w:t>
      </w:r>
      <w:r w:rsidR="00F71310" w:rsidRPr="00097C39">
        <w:t xml:space="preserve"> communicate a disbelief in—or, </w:t>
      </w:r>
      <w:r w:rsidR="00097C39">
        <w:t>perhaps</w:t>
      </w:r>
      <w:r w:rsidR="00F71310" w:rsidRPr="00097C39">
        <w:t>, a careful wariness towards the premise of—</w:t>
      </w:r>
      <w:r w:rsidR="00156726">
        <w:t xml:space="preserve">academic </w:t>
      </w:r>
      <w:r w:rsidR="00F71310" w:rsidRPr="00097C39">
        <w:t xml:space="preserve">freedom, one would need to reevaluate the constructs of language, academy, scholarship, and form that underly our understanding of </w:t>
      </w:r>
      <w:r w:rsidR="003A5A1D">
        <w:t>communication</w:t>
      </w:r>
      <w:r w:rsidR="00F71310" w:rsidRPr="00097C39">
        <w:t xml:space="preserve"> itself. </w:t>
      </w:r>
      <w:r w:rsidR="00B9703C">
        <w:t>Academic f</w:t>
      </w:r>
      <w:r w:rsidR="00015A7B">
        <w:t>reedom</w:t>
      </w:r>
      <w:r w:rsidR="00637CBE">
        <w:t xml:space="preserve"> is </w:t>
      </w:r>
      <w:r w:rsidR="00F71310" w:rsidRPr="00097C39">
        <w:t>“</w:t>
      </w:r>
      <w:r w:rsidR="00637CBE">
        <w:t>a</w:t>
      </w:r>
      <w:r w:rsidR="00F71310" w:rsidRPr="00097C39">
        <w:t xml:space="preserve">rt speak” </w:t>
      </w:r>
      <w:r w:rsidR="006636AF">
        <w:t xml:space="preserve">waiting </w:t>
      </w:r>
      <w:r w:rsidR="00F71310" w:rsidRPr="00097C39">
        <w:t xml:space="preserve">to be torn apart by the </w:t>
      </w:r>
      <w:r w:rsidR="0033643E" w:rsidRPr="00097C39">
        <w:t>ink</w:t>
      </w:r>
      <w:r w:rsidR="00C810A4">
        <w:t>y</w:t>
      </w:r>
      <w:r w:rsidR="00F71310" w:rsidRPr="00097C39">
        <w:t xml:space="preserve"> fingers who heralded its </w:t>
      </w:r>
      <w:r w:rsidR="00C51ABB" w:rsidRPr="00097C39">
        <w:t>rise.</w:t>
      </w:r>
      <w:r w:rsidR="00F71310" w:rsidRPr="00097C39">
        <w:rPr>
          <w:color w:val="EE0000"/>
        </w:rPr>
        <w:t xml:space="preserve"> </w:t>
      </w:r>
      <w:r w:rsidR="00F71310" w:rsidRPr="00097C39">
        <w:rPr>
          <w:i/>
          <w:iCs/>
        </w:rPr>
        <w:t xml:space="preserve">Does this </w:t>
      </w:r>
      <w:proofErr w:type="gramStart"/>
      <w:r w:rsidR="00F71310" w:rsidRPr="00097C39">
        <w:rPr>
          <w:i/>
          <w:iCs/>
        </w:rPr>
        <w:t>writing</w:t>
      </w:r>
      <w:proofErr w:type="gramEnd"/>
      <w:r w:rsidR="00F71310" w:rsidRPr="00097C39">
        <w:rPr>
          <w:i/>
          <w:iCs/>
        </w:rPr>
        <w:t xml:space="preserve"> sound clever to you? Does this language make you feel freer already?</w:t>
      </w:r>
    </w:p>
    <w:p w14:paraId="36B3C357" w14:textId="60C08384" w:rsidR="003D3EDE" w:rsidRDefault="003D3EDE" w:rsidP="003D3EDE">
      <w:pPr>
        <w:spacing w:line="276" w:lineRule="auto"/>
        <w:jc w:val="center"/>
        <w:rPr>
          <w:i/>
          <w:iCs/>
        </w:rPr>
      </w:pPr>
      <w:r w:rsidRPr="003D3EDE">
        <w:rPr>
          <w:i/>
          <w:iCs/>
        </w:rPr>
        <w:t>OPENING UP</w:t>
      </w:r>
      <w:r>
        <w:rPr>
          <w:i/>
          <w:iCs/>
        </w:rPr>
        <w:t>.</w:t>
      </w:r>
    </w:p>
    <w:p w14:paraId="478951A8" w14:textId="6930AC9D" w:rsidR="009B237D" w:rsidRDefault="00764D7D" w:rsidP="00F71310">
      <w:pPr>
        <w:spacing w:line="276" w:lineRule="auto"/>
        <w:jc w:val="both"/>
      </w:pPr>
      <w:r>
        <w:t>This essay argues</w:t>
      </w:r>
      <w:r w:rsidR="0032791E">
        <w:t xml:space="preserve"> that “academic freedom” is a fantasy</w:t>
      </w:r>
      <w:r w:rsidR="0029609B">
        <w:t xml:space="preserve">, one that inherently contradicts </w:t>
      </w:r>
      <w:r w:rsidR="00DE30C6">
        <w:t xml:space="preserve">the ethical principles of </w:t>
      </w:r>
      <w:r w:rsidR="0029609B">
        <w:t xml:space="preserve">safety, social harmony, and multiculturalism. </w:t>
      </w:r>
      <w:r w:rsidR="004B4249">
        <w:t>Academic freedom</w:t>
      </w:r>
      <w:r w:rsidR="00426815">
        <w:t>—the right to “engage in intellectual inquiry”, to “express […] opinions and beliefs”, and to “contribute to public debate”</w:t>
      </w:r>
      <w:r w:rsidR="00476E8E">
        <w:t xml:space="preserve"> </w:t>
      </w:r>
      <w:r w:rsidR="00426815">
        <w:t>in relation to “academic activities”</w:t>
      </w:r>
      <w:r w:rsidR="00654039">
        <w:t>—</w:t>
      </w:r>
      <w:r w:rsidR="006F3CC8">
        <w:t xml:space="preserve">rests upon </w:t>
      </w:r>
      <w:r w:rsidR="00C10DF1">
        <w:t>monocultural</w:t>
      </w:r>
      <w:r w:rsidR="006F3CC8">
        <w:t xml:space="preserve"> Western assumptions </w:t>
      </w:r>
      <w:r w:rsidR="00C67DF5">
        <w:t>of epistemology</w:t>
      </w:r>
      <w:r w:rsidR="005F0745">
        <w:t>, knowledge production</w:t>
      </w:r>
      <w:r w:rsidR="00950E49">
        <w:t xml:space="preserve">, and </w:t>
      </w:r>
      <w:r w:rsidR="002D759F">
        <w:t xml:space="preserve">rhetorical </w:t>
      </w:r>
      <w:r w:rsidR="00950E49">
        <w:t>discourse.</w:t>
      </w:r>
      <w:r w:rsidR="00785970">
        <w:rPr>
          <w:rStyle w:val="FootnoteReference"/>
        </w:rPr>
        <w:footnoteReference w:id="2"/>
      </w:r>
      <w:r w:rsidR="00785970">
        <w:t xml:space="preserve"> </w:t>
      </w:r>
      <w:r w:rsidR="00BD10C9">
        <w:t>These assumptions are rooted in oppression, and w</w:t>
      </w:r>
      <w:r w:rsidR="0074002D">
        <w:t>e</w:t>
      </w:r>
      <w:r w:rsidR="000A30D1">
        <w:t xml:space="preserve"> cannot promote social harmony under such conditions. </w:t>
      </w:r>
    </w:p>
    <w:p w14:paraId="48A092D5" w14:textId="3DE262E8" w:rsidR="003B4F14" w:rsidRDefault="00CB0677" w:rsidP="00F71310">
      <w:pPr>
        <w:spacing w:line="276" w:lineRule="auto"/>
        <w:jc w:val="both"/>
        <w:rPr>
          <w:color w:val="000000" w:themeColor="text1"/>
        </w:rPr>
      </w:pPr>
      <w:r>
        <w:t xml:space="preserve">To promote academic freedom while upholding </w:t>
      </w:r>
      <w:r w:rsidR="00491C54">
        <w:t>genuine</w:t>
      </w:r>
      <w:r>
        <w:t xml:space="preserve"> ethical principles means rethinking the definition of freedom and, subsequently, the means</w:t>
      </w:r>
      <w:r w:rsidR="00153D94">
        <w:t xml:space="preserve"> and modes</w:t>
      </w:r>
      <w:r>
        <w:t xml:space="preserve"> of </w:t>
      </w:r>
      <w:r w:rsidR="00FB6415">
        <w:t>scholarly</w:t>
      </w:r>
      <w:r>
        <w:t xml:space="preserve"> communication </w:t>
      </w:r>
      <w:r w:rsidR="000B175B">
        <w:t>that are enshrined as “rights” under this definition</w:t>
      </w:r>
      <w:r w:rsidR="00E54BAB">
        <w:t xml:space="preserve">. It means </w:t>
      </w:r>
      <w:r w:rsidR="00E54BAB" w:rsidRPr="00FA293B">
        <w:rPr>
          <w:i/>
          <w:iCs/>
        </w:rPr>
        <w:t>opening up</w:t>
      </w:r>
      <w:r w:rsidR="00E54BAB">
        <w:t xml:space="preserve"> definitions and ways of thinking, </w:t>
      </w:r>
      <w:r w:rsidR="00FA0E39">
        <w:t>communicating</w:t>
      </w:r>
      <w:r w:rsidR="00E54BAB">
        <w:t xml:space="preserve">, and </w:t>
      </w:r>
      <w:r w:rsidR="00FA0E39">
        <w:t>sharing</w:t>
      </w:r>
      <w:r w:rsidR="009517A7">
        <w:t>;</w:t>
      </w:r>
      <w:r w:rsidR="000A2891">
        <w:t xml:space="preserve"> following the logic</w:t>
      </w:r>
      <w:r w:rsidR="007516B9">
        <w:t xml:space="preserve">s </w:t>
      </w:r>
      <w:r w:rsidR="000A2891">
        <w:t>of culturally</w:t>
      </w:r>
      <w:r w:rsidR="00526FA2">
        <w:t xml:space="preserve"> </w:t>
      </w:r>
      <w:r w:rsidR="005C028E">
        <w:t xml:space="preserve">informed </w:t>
      </w:r>
      <w:r w:rsidR="000A2891">
        <w:t>epistemological scholars such as Aileen Moreton-Robinson</w:t>
      </w:r>
      <w:r w:rsidR="00441ED5">
        <w:t xml:space="preserve">, </w:t>
      </w:r>
      <w:r w:rsidR="00BB1C8E">
        <w:t xml:space="preserve">Silvia Rodríguez </w:t>
      </w:r>
      <w:proofErr w:type="spellStart"/>
      <w:r w:rsidR="00BB1C8E">
        <w:t>Maeso</w:t>
      </w:r>
      <w:proofErr w:type="spellEnd"/>
      <w:r w:rsidR="00BB1C8E">
        <w:t xml:space="preserve">, and </w:t>
      </w:r>
      <w:r w:rsidR="00BB27A9">
        <w:t>Marta Araújo</w:t>
      </w:r>
      <w:r w:rsidR="00526FA2">
        <w:t>.</w:t>
      </w:r>
      <w:r w:rsidR="000A0813">
        <w:rPr>
          <w:rStyle w:val="FootnoteReference"/>
        </w:rPr>
        <w:footnoteReference w:id="3"/>
      </w:r>
      <w:r w:rsidR="000B219E">
        <w:t xml:space="preserve"> It means navigating, as the rest of this essay will, the question</w:t>
      </w:r>
      <w:r w:rsidR="00A560F2">
        <w:t xml:space="preserve"> of how we know what knowing means—and</w:t>
      </w:r>
      <w:r w:rsidR="000B219E">
        <w:t xml:space="preserve"> </w:t>
      </w:r>
      <w:r w:rsidR="00A560F2" w:rsidRPr="00FA5586">
        <w:rPr>
          <w:color w:val="000000" w:themeColor="text1"/>
        </w:rPr>
        <w:t>how we know what</w:t>
      </w:r>
      <w:r w:rsidR="000B219E" w:rsidRPr="00FA5586">
        <w:rPr>
          <w:color w:val="000000" w:themeColor="text1"/>
        </w:rPr>
        <w:t xml:space="preserve"> it means to be </w:t>
      </w:r>
      <w:r w:rsidR="00FA293B" w:rsidRPr="00FA5586">
        <w:rPr>
          <w:color w:val="000000" w:themeColor="text1"/>
        </w:rPr>
        <w:t>“</w:t>
      </w:r>
      <w:r w:rsidR="000B219E" w:rsidRPr="00FA5586">
        <w:rPr>
          <w:color w:val="000000" w:themeColor="text1"/>
        </w:rPr>
        <w:t>free</w:t>
      </w:r>
      <w:r w:rsidR="00FA293B" w:rsidRPr="00FA5586">
        <w:rPr>
          <w:color w:val="000000" w:themeColor="text1"/>
        </w:rPr>
        <w:t>” in knowledge</w:t>
      </w:r>
      <w:r w:rsidR="00B116DF">
        <w:rPr>
          <w:color w:val="000000" w:themeColor="text1"/>
        </w:rPr>
        <w:t xml:space="preserve">. </w:t>
      </w:r>
    </w:p>
    <w:p w14:paraId="669DC349" w14:textId="77777777" w:rsidR="006D5379" w:rsidRDefault="006D5379" w:rsidP="00F71310">
      <w:pPr>
        <w:spacing w:line="276" w:lineRule="auto"/>
        <w:jc w:val="both"/>
      </w:pPr>
    </w:p>
    <w:p w14:paraId="3BC9F599" w14:textId="27E597A8" w:rsidR="00A560F2" w:rsidRDefault="00A560F2" w:rsidP="00A560F2">
      <w:pPr>
        <w:spacing w:line="276" w:lineRule="auto"/>
        <w:jc w:val="center"/>
        <w:rPr>
          <w:i/>
          <w:iCs/>
        </w:rPr>
      </w:pPr>
      <w:r>
        <w:rPr>
          <w:i/>
          <w:iCs/>
        </w:rPr>
        <w:lastRenderedPageBreak/>
        <w:t>KNOWING NOTHING.</w:t>
      </w:r>
    </w:p>
    <w:p w14:paraId="61A3B124" w14:textId="01E0B517" w:rsidR="00FC48AF" w:rsidRDefault="00160BB2" w:rsidP="00B202D8">
      <w:pPr>
        <w:tabs>
          <w:tab w:val="right" w:pos="9026"/>
        </w:tabs>
        <w:spacing w:line="276" w:lineRule="auto"/>
        <w:jc w:val="both"/>
      </w:pPr>
      <w:r>
        <w:t xml:space="preserve">To </w:t>
      </w:r>
      <w:r w:rsidR="002A2004">
        <w:t>“</w:t>
      </w:r>
      <w:r>
        <w:t>know</w:t>
      </w:r>
      <w:r w:rsidR="002A2004">
        <w:t>”</w:t>
      </w:r>
      <w:r>
        <w:t xml:space="preserve"> i</w:t>
      </w:r>
      <w:r w:rsidR="00EC657E">
        <w:t>s to position yourself as a subject</w:t>
      </w:r>
      <w:r w:rsidR="006D5379">
        <w:t>. T</w:t>
      </w:r>
      <w:r w:rsidR="00EC657E">
        <w:t xml:space="preserve">o </w:t>
      </w:r>
      <w:r w:rsidR="00EC657E">
        <w:rPr>
          <w:i/>
          <w:iCs/>
        </w:rPr>
        <w:t xml:space="preserve">know, </w:t>
      </w:r>
      <w:r w:rsidR="00EC657E">
        <w:t>something</w:t>
      </w:r>
      <w:r w:rsidR="00A5215E">
        <w:t>—an object—</w:t>
      </w:r>
      <w:r w:rsidR="00EC657E">
        <w:t xml:space="preserve">must be </w:t>
      </w:r>
      <w:r w:rsidR="00EC657E">
        <w:rPr>
          <w:i/>
          <w:iCs/>
        </w:rPr>
        <w:t>known</w:t>
      </w:r>
      <w:r w:rsidR="00EC657E">
        <w:t>.</w:t>
      </w:r>
      <w:r w:rsidR="00E31F00">
        <w:rPr>
          <w:rStyle w:val="FootnoteReference"/>
        </w:rPr>
        <w:footnoteReference w:id="4"/>
      </w:r>
      <w:r w:rsidR="00E80877">
        <w:t xml:space="preserve"> Historically, the divide of knower/known, </w:t>
      </w:r>
      <w:r w:rsidR="00A43515">
        <w:t>or</w:t>
      </w:r>
      <w:r w:rsidR="00E80877">
        <w:t xml:space="preserve"> subject/object, has fallen along the racial lines of white/non-white</w:t>
      </w:r>
      <w:r w:rsidR="00843C8C">
        <w:t>, among other social divisions of class</w:t>
      </w:r>
      <w:r w:rsidR="00B54D9D">
        <w:t xml:space="preserve">, ability, </w:t>
      </w:r>
      <w:r w:rsidR="008F26E4">
        <w:t xml:space="preserve">gender, </w:t>
      </w:r>
      <w:r w:rsidR="00AD6ED2">
        <w:t>and religion.</w:t>
      </w:r>
      <w:r w:rsidR="001262BD">
        <w:rPr>
          <w:rStyle w:val="FootnoteReference"/>
        </w:rPr>
        <w:footnoteReference w:id="5"/>
      </w:r>
      <w:r w:rsidR="00AD6ED2">
        <w:t xml:space="preserve"> </w:t>
      </w:r>
      <w:r w:rsidR="0031221B">
        <w:t>These other distinctions are important and worth noting</w:t>
      </w:r>
      <w:r w:rsidR="00764D7D">
        <w:t>,</w:t>
      </w:r>
      <w:r w:rsidR="0031221B">
        <w:t xml:space="preserve"> but it </w:t>
      </w:r>
      <w:r w:rsidR="00A5215E">
        <w:t>was</w:t>
      </w:r>
      <w:r w:rsidR="0031221B">
        <w:t xml:space="preserve"> race, first and foremost, that define</w:t>
      </w:r>
      <w:r w:rsidR="00813D64">
        <w:t>d</w:t>
      </w:r>
      <w:r w:rsidR="0031221B">
        <w:t xml:space="preserve"> the </w:t>
      </w:r>
      <w:r w:rsidR="00595E10">
        <w:t xml:space="preserve">scope and practice of knowing. </w:t>
      </w:r>
      <w:r w:rsidR="001308B5">
        <w:t>Moreton-Robinson writes</w:t>
      </w:r>
      <w:r w:rsidR="009B6FB1">
        <w:t xml:space="preserve"> </w:t>
      </w:r>
      <w:r w:rsidR="001308B5">
        <w:t xml:space="preserve">that </w:t>
      </w:r>
      <w:r w:rsidR="00E842FD">
        <w:t xml:space="preserve">when knowledge was established as the field we know today, </w:t>
      </w:r>
      <w:r w:rsidR="001308B5">
        <w:t xml:space="preserve">whiteness </w:t>
      </w:r>
      <w:r w:rsidR="00E842FD">
        <w:t>established its limits.</w:t>
      </w:r>
      <w:r w:rsidR="00A6448E">
        <w:rPr>
          <w:rStyle w:val="FootnoteReference"/>
        </w:rPr>
        <w:footnoteReference w:id="6"/>
      </w:r>
      <w:r w:rsidR="00EB55F8">
        <w:t xml:space="preserve"> </w:t>
      </w:r>
      <w:r w:rsidR="00E842FD">
        <w:t>Whiteness was the default</w:t>
      </w:r>
      <w:r w:rsidR="00EC7477">
        <w:t xml:space="preserve">, pure, </w:t>
      </w:r>
      <w:r w:rsidR="00EC7477">
        <w:rPr>
          <w:i/>
          <w:iCs/>
        </w:rPr>
        <w:t xml:space="preserve">tabula rasa </w:t>
      </w:r>
      <w:r w:rsidR="00EC7477">
        <w:t>mind onto which knowledge could be projected and learned</w:t>
      </w:r>
      <w:r w:rsidR="00DE70EC">
        <w:t xml:space="preserve">; whiteness was positioned as invisible: not something to be </w:t>
      </w:r>
      <w:r w:rsidR="00DE70EC" w:rsidRPr="00A36013">
        <w:rPr>
          <w:i/>
          <w:iCs/>
        </w:rPr>
        <w:t>known</w:t>
      </w:r>
      <w:r w:rsidR="00DE70EC">
        <w:t xml:space="preserve">, like the exotic ways of </w:t>
      </w:r>
      <w:r w:rsidR="00075985">
        <w:t xml:space="preserve">the nether folk, </w:t>
      </w:r>
      <w:r w:rsidR="002D5B45">
        <w:t xml:space="preserve">but simply something that </w:t>
      </w:r>
      <w:r w:rsidR="002D5B45">
        <w:rPr>
          <w:i/>
          <w:iCs/>
        </w:rPr>
        <w:t>is</w:t>
      </w:r>
      <w:r w:rsidR="002D5B45">
        <w:t>, something that creates knowledge “in the other’s name”.</w:t>
      </w:r>
      <w:r w:rsidR="00415FE3">
        <w:rPr>
          <w:rStyle w:val="FootnoteReference"/>
        </w:rPr>
        <w:footnoteReference w:id="7"/>
      </w:r>
      <w:r w:rsidR="00995BF9">
        <w:t xml:space="preserve"> Whiteness, then, is </w:t>
      </w:r>
      <w:r w:rsidR="00A73BAE">
        <w:t>the</w:t>
      </w:r>
      <w:r w:rsidR="00995BF9">
        <w:t xml:space="preserve"> undercurrent beneath the supposedly </w:t>
      </w:r>
      <w:r w:rsidR="007A5DC6">
        <w:t>pure</w:t>
      </w:r>
      <w:r w:rsidR="009A6106">
        <w:t>, untainted</w:t>
      </w:r>
      <w:r w:rsidR="00830596">
        <w:t>, ahistorical</w:t>
      </w:r>
      <w:r w:rsidR="009A6106">
        <w:t xml:space="preserve"> </w:t>
      </w:r>
      <w:r w:rsidR="00B15939">
        <w:t>field of knowing</w:t>
      </w:r>
      <w:r w:rsidR="00C04A39">
        <w:t>—</w:t>
      </w:r>
      <w:r w:rsidR="004B651E">
        <w:t xml:space="preserve">or rather, </w:t>
      </w:r>
      <w:r w:rsidR="00C04A39">
        <w:t xml:space="preserve">it </w:t>
      </w:r>
      <w:r w:rsidR="00C04A39">
        <w:rPr>
          <w:i/>
          <w:iCs/>
        </w:rPr>
        <w:t xml:space="preserve">is </w:t>
      </w:r>
      <w:r w:rsidR="00C04A39">
        <w:t xml:space="preserve">the supposed purity, the thing which cannot be tainted. </w:t>
      </w:r>
      <w:r w:rsidR="001C5027">
        <w:t xml:space="preserve">The first written languages were developed in Mesopotamia, Egypt, India, and China; </w:t>
      </w:r>
      <w:r w:rsidR="003C2A53">
        <w:t xml:space="preserve">some of </w:t>
      </w:r>
      <w:r w:rsidR="001C5027">
        <w:t>the longest oral histories come from the Aboriginal and Torres Strait Islander Peoples of Australia</w:t>
      </w:r>
      <w:r w:rsidR="007E4ABF">
        <w:t>.</w:t>
      </w:r>
      <w:r w:rsidR="00E06976">
        <w:rPr>
          <w:rStyle w:val="FootnoteReference"/>
        </w:rPr>
        <w:footnoteReference w:id="8"/>
      </w:r>
      <w:r w:rsidR="001C5027">
        <w:t xml:space="preserve"> </w:t>
      </w:r>
      <w:r w:rsidR="007E4ABF">
        <w:t>A</w:t>
      </w:r>
      <w:r w:rsidR="000E3BC1">
        <w:t xml:space="preserve">nd yet knowledge, knowing, and academia have become synonymous </w:t>
      </w:r>
      <w:r w:rsidR="009B51BE">
        <w:t xml:space="preserve">instead with the </w:t>
      </w:r>
      <w:r w:rsidR="00DD18DC">
        <w:t xml:space="preserve">forums of Ancient Athens, </w:t>
      </w:r>
      <w:r w:rsidR="00C02E94">
        <w:t>the</w:t>
      </w:r>
      <w:r w:rsidR="007E4ABF">
        <w:t xml:space="preserve"> European Enlightenment, the</w:t>
      </w:r>
      <w:r w:rsidR="00C02E94">
        <w:t xml:space="preserve"> Socratic seminars </w:t>
      </w:r>
      <w:r w:rsidR="009517CD">
        <w:t>of the Ivy League and Oxbridge</w:t>
      </w:r>
      <w:r w:rsidR="00CB6B88">
        <w:t xml:space="preserve">, and even </w:t>
      </w:r>
      <w:r w:rsidR="00FF16BB">
        <w:t xml:space="preserve">the sandstone architecture of </w:t>
      </w:r>
      <w:r w:rsidR="009517CD">
        <w:t xml:space="preserve">Australia’s </w:t>
      </w:r>
      <w:r w:rsidR="00FF16BB">
        <w:t>elite</w:t>
      </w:r>
      <w:r w:rsidR="009517CD">
        <w:t xml:space="preserve"> universities.</w:t>
      </w:r>
      <w:r w:rsidR="00F62998">
        <w:rPr>
          <w:rStyle w:val="FootnoteReference"/>
        </w:rPr>
        <w:footnoteReference w:id="9"/>
      </w:r>
      <w:r w:rsidR="00562378">
        <w:t xml:space="preserve"> </w:t>
      </w:r>
    </w:p>
    <w:p w14:paraId="334ADB8A" w14:textId="050B4C0D" w:rsidR="000A5441" w:rsidRPr="0081038E" w:rsidRDefault="005F3ACC" w:rsidP="00145F16">
      <w:pPr>
        <w:tabs>
          <w:tab w:val="right" w:pos="9026"/>
        </w:tabs>
        <w:spacing w:line="276" w:lineRule="auto"/>
        <w:jc w:val="both"/>
      </w:pPr>
      <w:r>
        <w:t>However, these</w:t>
      </w:r>
      <w:r w:rsidR="00562378">
        <w:t xml:space="preserve"> kinds of </w:t>
      </w:r>
      <w:r w:rsidR="00164023">
        <w:t xml:space="preserve">Eurocentric </w:t>
      </w:r>
      <w:r w:rsidR="00562378">
        <w:t>knowledges are different</w:t>
      </w:r>
      <w:r w:rsidR="00164023">
        <w:t xml:space="preserve"> </w:t>
      </w:r>
      <w:r w:rsidR="006608E9">
        <w:t xml:space="preserve">from </w:t>
      </w:r>
      <w:r w:rsidR="00C77F0D">
        <w:t>alternate epistemologies</w:t>
      </w:r>
      <w:r w:rsidR="006608E9">
        <w:t xml:space="preserve"> </w:t>
      </w:r>
      <w:r w:rsidR="00164023">
        <w:t xml:space="preserve">for a few reasons. </w:t>
      </w:r>
      <w:r w:rsidR="00AA7C3E">
        <w:t>Most crucially</w:t>
      </w:r>
      <w:r w:rsidR="00BD7533">
        <w:t>, Eurocentric knowledge produced and privileged in Western settings like universities rel</w:t>
      </w:r>
      <w:r w:rsidR="008C757E">
        <w:t>ies</w:t>
      </w:r>
      <w:r w:rsidR="00BD7533">
        <w:t xml:space="preserve"> inherently on hierarchies of knowing.</w:t>
      </w:r>
      <w:r w:rsidR="00667E42">
        <w:rPr>
          <w:rStyle w:val="FootnoteReference"/>
        </w:rPr>
        <w:footnoteReference w:id="10"/>
      </w:r>
      <w:r w:rsidR="00BD7533">
        <w:t xml:space="preserve"> </w:t>
      </w:r>
      <w:r w:rsidR="007366A0">
        <w:t xml:space="preserve">It is the </w:t>
      </w:r>
      <w:r w:rsidR="00345C25">
        <w:t xml:space="preserve">resounding cry of Western knowers that </w:t>
      </w:r>
      <w:r w:rsidR="00345C25" w:rsidRPr="000F04AB">
        <w:rPr>
          <w:i/>
          <w:iCs/>
        </w:rPr>
        <w:t xml:space="preserve">my </w:t>
      </w:r>
      <w:r w:rsidR="009B0047">
        <w:rPr>
          <w:i/>
          <w:iCs/>
        </w:rPr>
        <w:t>methods</w:t>
      </w:r>
      <w:r w:rsidR="00A659D9" w:rsidRPr="000F04AB">
        <w:rPr>
          <w:i/>
          <w:iCs/>
        </w:rPr>
        <w:t xml:space="preserve"> </w:t>
      </w:r>
      <w:r w:rsidR="009B0047">
        <w:rPr>
          <w:i/>
          <w:iCs/>
        </w:rPr>
        <w:t>are</w:t>
      </w:r>
      <w:r w:rsidR="00A659D9" w:rsidRPr="000F04AB">
        <w:rPr>
          <w:i/>
          <w:iCs/>
        </w:rPr>
        <w:t xml:space="preserve"> better than yours</w:t>
      </w:r>
      <w:r w:rsidR="00A659D9">
        <w:t xml:space="preserve">, </w:t>
      </w:r>
      <w:r w:rsidR="00A659D9" w:rsidRPr="000F04AB">
        <w:rPr>
          <w:i/>
          <w:iCs/>
        </w:rPr>
        <w:t>my language is purer than yours</w:t>
      </w:r>
      <w:r w:rsidR="000F04AB">
        <w:t xml:space="preserve">, </w:t>
      </w:r>
      <w:r w:rsidR="000F04AB">
        <w:rPr>
          <w:i/>
          <w:iCs/>
        </w:rPr>
        <w:t xml:space="preserve">my knowledge is </w:t>
      </w:r>
      <w:r w:rsidR="000F04AB">
        <w:t xml:space="preserve">freer </w:t>
      </w:r>
      <w:r w:rsidR="000F04AB">
        <w:rPr>
          <w:i/>
          <w:iCs/>
        </w:rPr>
        <w:t>than yours</w:t>
      </w:r>
      <w:r w:rsidR="00375F87">
        <w:t>: the positioning of superiority always implying an inferior</w:t>
      </w:r>
      <w:r w:rsidR="00B06F31">
        <w:t>.</w:t>
      </w:r>
      <w:r w:rsidR="007A4C13">
        <w:rPr>
          <w:rStyle w:val="FootnoteReference"/>
        </w:rPr>
        <w:footnoteReference w:id="11"/>
      </w:r>
      <w:r w:rsidR="00C4390C">
        <w:t xml:space="preserve"> </w:t>
      </w:r>
      <w:r w:rsidR="00E14C91">
        <w:t>There are many entry points to this discussion</w:t>
      </w:r>
      <w:r w:rsidR="00EA1942">
        <w:t xml:space="preserve"> of hierarchies</w:t>
      </w:r>
      <w:r w:rsidR="0028374F">
        <w:t>.</w:t>
      </w:r>
      <w:r w:rsidR="00D96A4A">
        <w:t xml:space="preserve"> </w:t>
      </w:r>
      <w:r w:rsidR="0028374F">
        <w:t>T</w:t>
      </w:r>
      <w:r w:rsidR="00786047">
        <w:t>he</w:t>
      </w:r>
      <w:r w:rsidR="0028374F">
        <w:t>re is the</w:t>
      </w:r>
      <w:r w:rsidR="00786047">
        <w:t xml:space="preserve"> history of ontological </w:t>
      </w:r>
      <w:r w:rsidR="00705D46">
        <w:t xml:space="preserve">Cartesian </w:t>
      </w:r>
      <w:r w:rsidR="00786047">
        <w:t xml:space="preserve">dualism that divides knowledge </w:t>
      </w:r>
      <w:r w:rsidR="0012173E">
        <w:t>between the</w:t>
      </w:r>
      <w:r w:rsidR="008A205F">
        <w:t xml:space="preserve"> superior</w:t>
      </w:r>
      <w:r w:rsidR="0012173E">
        <w:t xml:space="preserve"> mind and the </w:t>
      </w:r>
      <w:r w:rsidR="009748CE">
        <w:t xml:space="preserve">inferior </w:t>
      </w:r>
      <w:r w:rsidR="0012173E">
        <w:t xml:space="preserve">body, </w:t>
      </w:r>
      <w:r w:rsidR="005466AF">
        <w:t xml:space="preserve">the </w:t>
      </w:r>
      <w:r w:rsidR="007B53CA">
        <w:t>cultural biases embedded in the</w:t>
      </w:r>
      <w:r w:rsidR="000C578D">
        <w:t xml:space="preserve"> </w:t>
      </w:r>
      <w:r w:rsidR="005466AF">
        <w:t xml:space="preserve">physical structure </w:t>
      </w:r>
      <w:r w:rsidR="007E046D">
        <w:t xml:space="preserve">or “social materiality” </w:t>
      </w:r>
      <w:r w:rsidR="005466AF">
        <w:t xml:space="preserve">of a </w:t>
      </w:r>
      <w:r w:rsidR="0098224F">
        <w:t xml:space="preserve">classroom </w:t>
      </w:r>
      <w:r w:rsidR="004E2EA2">
        <w:t>space</w:t>
      </w:r>
      <w:r w:rsidR="000A6C0C">
        <w:t xml:space="preserve">, </w:t>
      </w:r>
      <w:r w:rsidR="00E21B6F">
        <w:t xml:space="preserve">and </w:t>
      </w:r>
      <w:r w:rsidR="0086697F">
        <w:t xml:space="preserve">the anthropological </w:t>
      </w:r>
      <w:r w:rsidR="00393CE6">
        <w:t xml:space="preserve">history of studying </w:t>
      </w:r>
      <w:r w:rsidR="00C56F49">
        <w:t xml:space="preserve">the </w:t>
      </w:r>
      <w:r w:rsidR="00152158">
        <w:t>“</w:t>
      </w:r>
      <w:r w:rsidR="00C56F49">
        <w:t>exotic</w:t>
      </w:r>
      <w:r w:rsidR="00152158">
        <w:t>”</w:t>
      </w:r>
      <w:r w:rsidR="00EC67F5">
        <w:t xml:space="preserve"> </w:t>
      </w:r>
      <w:r w:rsidR="00DA3EE7">
        <w:t xml:space="preserve">(read: </w:t>
      </w:r>
      <w:r w:rsidR="009172C6">
        <w:t>“</w:t>
      </w:r>
      <w:r w:rsidR="00DA3EE7">
        <w:t>non-white</w:t>
      </w:r>
      <w:r w:rsidR="009172C6">
        <w:t>”</w:t>
      </w:r>
      <w:r w:rsidR="00DA3EE7">
        <w:t>)</w:t>
      </w:r>
      <w:r w:rsidR="009172C6">
        <w:t xml:space="preserve"> </w:t>
      </w:r>
      <w:r w:rsidR="00EC67F5">
        <w:t xml:space="preserve">as a way to pure </w:t>
      </w:r>
      <w:r w:rsidR="00EC67F5">
        <w:lastRenderedPageBreak/>
        <w:t>knowledge.</w:t>
      </w:r>
      <w:r w:rsidR="000149A4">
        <w:rPr>
          <w:rStyle w:val="FootnoteReference"/>
        </w:rPr>
        <w:footnoteReference w:id="12"/>
      </w:r>
      <w:r w:rsidR="00DD6A16">
        <w:t xml:space="preserve"> But I am specifically interested in </w:t>
      </w:r>
      <w:r w:rsidR="0081038E">
        <w:t>language</w:t>
      </w:r>
      <w:r w:rsidR="00C45D91">
        <w:t>.</w:t>
      </w:r>
      <w:r w:rsidR="0081038E">
        <w:t xml:space="preserve"> </w:t>
      </w:r>
      <w:r w:rsidR="00C45D91">
        <w:rPr>
          <w:i/>
          <w:iCs/>
        </w:rPr>
        <w:t>W</w:t>
      </w:r>
      <w:r w:rsidR="0081038E">
        <w:rPr>
          <w:i/>
          <w:iCs/>
        </w:rPr>
        <w:t xml:space="preserve">hat makes my writing sound clever to you? What language makes us freer? </w:t>
      </w:r>
    </w:p>
    <w:p w14:paraId="17537687" w14:textId="442A89A8" w:rsidR="006430C9" w:rsidRDefault="00556FDF" w:rsidP="009A4E0B">
      <w:pPr>
        <w:tabs>
          <w:tab w:val="right" w:pos="9026"/>
        </w:tabs>
        <w:spacing w:line="276" w:lineRule="auto"/>
        <w:jc w:val="both"/>
      </w:pPr>
      <w:r>
        <w:t>There are two</w:t>
      </w:r>
      <w:r w:rsidR="00867375">
        <w:t xml:space="preserve"> </w:t>
      </w:r>
      <w:r w:rsidR="00AF0E37">
        <w:t xml:space="preserve">metrics of success </w:t>
      </w:r>
      <w:r w:rsidR="00867375">
        <w:t xml:space="preserve">for language in Eurocentric knowledge production, each </w:t>
      </w:r>
      <w:r w:rsidR="0045052A">
        <w:t>eliminating</w:t>
      </w:r>
      <w:r w:rsidR="00C25BA9">
        <w:t xml:space="preserve"> a new swathe of potential knowledge producers</w:t>
      </w:r>
      <w:r w:rsidR="009E45DA">
        <w:t xml:space="preserve"> from the canons of </w:t>
      </w:r>
      <w:r w:rsidR="002E0343">
        <w:t>cleverness</w:t>
      </w:r>
      <w:r w:rsidR="00795256">
        <w:t xml:space="preserve"> (or, more specifically, the</w:t>
      </w:r>
      <w:r w:rsidR="00042513">
        <w:t xml:space="preserve"> ability </w:t>
      </w:r>
      <w:r w:rsidR="00795256">
        <w:t xml:space="preserve">to be </w:t>
      </w:r>
      <w:r w:rsidR="00795256">
        <w:rPr>
          <w:i/>
          <w:iCs/>
        </w:rPr>
        <w:t xml:space="preserve">seen </w:t>
      </w:r>
      <w:r w:rsidR="00795256">
        <w:t>as clever)</w:t>
      </w:r>
      <w:r w:rsidR="002E0343">
        <w:t>.</w:t>
      </w:r>
      <w:r w:rsidR="00AF68E1">
        <w:t xml:space="preserve"> The first is the </w:t>
      </w:r>
      <w:r w:rsidR="0080306B">
        <w:t>language itself</w:t>
      </w:r>
      <w:r w:rsidR="006F3DB6">
        <w:t>.</w:t>
      </w:r>
      <w:r w:rsidR="0080306B">
        <w:t xml:space="preserve"> </w:t>
      </w:r>
      <w:r w:rsidR="006F3DB6">
        <w:t>T</w:t>
      </w:r>
      <w:r w:rsidR="0080306B">
        <w:t>he preference for English</w:t>
      </w:r>
      <w:r w:rsidR="00051E4A">
        <w:t xml:space="preserve"> (although we are afforded, generally, the privilege of choosing American</w:t>
      </w:r>
      <w:r w:rsidR="0045052A">
        <w:t>,</w:t>
      </w:r>
      <w:r w:rsidR="00051E4A">
        <w:t xml:space="preserve"> British or Australian</w:t>
      </w:r>
      <w:r w:rsidR="00836E27">
        <w:t xml:space="preserve"> spelling</w:t>
      </w:r>
      <w:r w:rsidR="00051E4A">
        <w:t>)</w:t>
      </w:r>
      <w:r w:rsidR="00B1069A">
        <w:t xml:space="preserve"> immediately </w:t>
      </w:r>
      <w:r w:rsidR="00AD3573">
        <w:t xml:space="preserve">places a barrier </w:t>
      </w:r>
      <w:r w:rsidR="00F8341D">
        <w:t xml:space="preserve">in the face of </w:t>
      </w:r>
      <w:r w:rsidR="002E3ED7">
        <w:t xml:space="preserve">most of </w:t>
      </w:r>
      <w:r w:rsidR="00F8341D">
        <w:t>the world’s population.</w:t>
      </w:r>
      <w:r w:rsidR="009E32BA">
        <w:rPr>
          <w:rStyle w:val="FootnoteReference"/>
        </w:rPr>
        <w:footnoteReference w:id="13"/>
      </w:r>
      <w:r w:rsidR="007E0955">
        <w:t xml:space="preserve"> </w:t>
      </w:r>
      <w:r w:rsidR="00421344">
        <w:t>This barrier widens if we consider</w:t>
      </w:r>
      <w:r w:rsidR="00790CE8">
        <w:t xml:space="preserve"> the exclusion </w:t>
      </w:r>
      <w:r w:rsidR="005506C1">
        <w:t xml:space="preserve">and policing </w:t>
      </w:r>
      <w:r w:rsidR="00790CE8">
        <w:t>of</w:t>
      </w:r>
      <w:r w:rsidR="00421344">
        <w:t xml:space="preserve"> non-white dialects of English, like Aboriginal English or African</w:t>
      </w:r>
      <w:r w:rsidR="00FC57AC">
        <w:t>-</w:t>
      </w:r>
      <w:r w:rsidR="00421344">
        <w:t xml:space="preserve">American Vernacular </w:t>
      </w:r>
      <w:r w:rsidR="00E21B6F">
        <w:t>English</w:t>
      </w:r>
      <w:r w:rsidR="00421344">
        <w:t xml:space="preserve"> (AAVE)</w:t>
      </w:r>
      <w:r w:rsidR="00AD1912">
        <w:t xml:space="preserve">, which are commonly </w:t>
      </w:r>
      <w:r w:rsidR="001B2FCE">
        <w:t>tied to “negative assumptions about [a speaker’s] intelligence and credibility</w:t>
      </w:r>
      <w:r w:rsidR="00931E6C">
        <w:t>”.</w:t>
      </w:r>
      <w:r w:rsidR="006A0858">
        <w:rPr>
          <w:rStyle w:val="FootnoteReference"/>
        </w:rPr>
        <w:footnoteReference w:id="14"/>
      </w:r>
      <w:r w:rsidR="003D189A">
        <w:t xml:space="preserve"> </w:t>
      </w:r>
      <w:r w:rsidR="00A25D35">
        <w:t xml:space="preserve">The second </w:t>
      </w:r>
      <w:r w:rsidR="00A467C8">
        <w:t>obstacle</w:t>
      </w:r>
      <w:r w:rsidR="008516D7">
        <w:t xml:space="preserve"> </w:t>
      </w:r>
      <w:r w:rsidR="00CF56E9">
        <w:t xml:space="preserve">is the </w:t>
      </w:r>
      <w:r w:rsidR="000764CF">
        <w:t>demanding</w:t>
      </w:r>
      <w:r w:rsidR="00CF56E9">
        <w:t xml:space="preserve"> expectation</w:t>
      </w:r>
      <w:r w:rsidR="006F58EA">
        <w:t xml:space="preserve"> placed on </w:t>
      </w:r>
      <w:r w:rsidR="00D41C55">
        <w:t>how</w:t>
      </w:r>
      <w:r w:rsidR="00A467C8">
        <w:t xml:space="preserve"> English is performed and accepted</w:t>
      </w:r>
      <w:r w:rsidR="006F58EA">
        <w:t xml:space="preserve"> in academia: the demands</w:t>
      </w:r>
      <w:r w:rsidR="00CF56E9">
        <w:t xml:space="preserve"> of structure, </w:t>
      </w:r>
      <w:r w:rsidR="00214CD8">
        <w:t>tone</w:t>
      </w:r>
      <w:r w:rsidR="00CF56E9">
        <w:t xml:space="preserve">, </w:t>
      </w:r>
      <w:r w:rsidR="00214CD8">
        <w:t xml:space="preserve">vocabulary, </w:t>
      </w:r>
      <w:r w:rsidR="00314208">
        <w:t>allusion</w:t>
      </w:r>
      <w:r w:rsidR="00697B34">
        <w:t xml:space="preserve">, and </w:t>
      </w:r>
      <w:r w:rsidR="002B6D9C">
        <w:t>pragmatics</w:t>
      </w:r>
      <w:r w:rsidR="00697B34">
        <w:t xml:space="preserve">, which we may call </w:t>
      </w:r>
      <w:r w:rsidR="002B6D9C">
        <w:t xml:space="preserve">formal </w:t>
      </w:r>
      <w:r w:rsidR="0081244E">
        <w:t xml:space="preserve">expectations. </w:t>
      </w:r>
      <w:r w:rsidR="00317024">
        <w:t>Those</w:t>
      </w:r>
      <w:r w:rsidR="00CB12D5">
        <w:t xml:space="preserve"> </w:t>
      </w:r>
      <w:r w:rsidR="00D41C55">
        <w:t>highbrow</w:t>
      </w:r>
      <w:r w:rsidR="00CB12D5">
        <w:t xml:space="preserve"> jargon</w:t>
      </w:r>
      <w:r w:rsidR="00317024">
        <w:t>s</w:t>
      </w:r>
      <w:r w:rsidR="00CB12D5">
        <w:t xml:space="preserve">, </w:t>
      </w:r>
      <w:r w:rsidR="00596E30">
        <w:t xml:space="preserve">lengthy clauses, and </w:t>
      </w:r>
      <w:r w:rsidR="001C7ABF">
        <w:t xml:space="preserve">“always </w:t>
      </w:r>
      <w:proofErr w:type="spellStart"/>
      <w:r w:rsidR="001C7ABF">
        <w:t>already</w:t>
      </w:r>
      <w:r w:rsidR="004D58D2">
        <w:t>s</w:t>
      </w:r>
      <w:proofErr w:type="spellEnd"/>
      <w:r w:rsidR="001C7ABF">
        <w:t xml:space="preserve">” </w:t>
      </w:r>
      <w:r w:rsidR="00D25DFA">
        <w:t>that proliferate journals and monographs</w:t>
      </w:r>
      <w:r w:rsidR="00A24AB4">
        <w:t xml:space="preserve"> </w:t>
      </w:r>
      <w:r w:rsidR="00382BFB">
        <w:t>are not innate</w:t>
      </w:r>
      <w:r w:rsidR="004C2C68">
        <w:t>.</w:t>
      </w:r>
      <w:r w:rsidR="00382BFB">
        <w:t xml:space="preserve"> </w:t>
      </w:r>
      <w:r w:rsidR="00E21B6F">
        <w:t>Academese</w:t>
      </w:r>
      <w:r w:rsidR="00A80A37">
        <w:t xml:space="preserve"> is like legalese: </w:t>
      </w:r>
      <w:r w:rsidR="00382BFB">
        <w:t>a learned system of communication, and not an easy learning at that</w:t>
      </w:r>
      <w:r w:rsidR="00D25DFA">
        <w:t>.</w:t>
      </w:r>
      <w:r w:rsidR="00042B34">
        <w:t xml:space="preserve"> </w:t>
      </w:r>
      <w:r w:rsidR="006430C9">
        <w:t xml:space="preserve">Nor are </w:t>
      </w:r>
      <w:r w:rsidR="006E210D">
        <w:t xml:space="preserve">they </w:t>
      </w:r>
      <w:r w:rsidR="0017073F">
        <w:t xml:space="preserve">always (already?) </w:t>
      </w:r>
      <w:r w:rsidR="00276511">
        <w:t xml:space="preserve">compatible </w:t>
      </w:r>
      <w:r w:rsidR="00557A03">
        <w:t xml:space="preserve">with </w:t>
      </w:r>
      <w:r w:rsidR="00BC4517">
        <w:t>alternate</w:t>
      </w:r>
      <w:r w:rsidR="00557A03">
        <w:t xml:space="preserve"> forms of learning</w:t>
      </w:r>
      <w:r w:rsidR="000369A7">
        <w:t xml:space="preserve"> and knowing</w:t>
      </w:r>
      <w:r w:rsidR="00406C69">
        <w:t>.</w:t>
      </w:r>
    </w:p>
    <w:p w14:paraId="660F78E8" w14:textId="6386BF71" w:rsidR="00F83C82" w:rsidRDefault="00F83C82" w:rsidP="009A4E0B">
      <w:pPr>
        <w:tabs>
          <w:tab w:val="right" w:pos="9026"/>
        </w:tabs>
        <w:spacing w:line="276" w:lineRule="auto"/>
        <w:jc w:val="both"/>
      </w:pPr>
      <w:r>
        <w:rPr>
          <w:noProof/>
        </w:rPr>
        <w:drawing>
          <wp:anchor distT="0" distB="0" distL="114300" distR="114300" simplePos="0" relativeHeight="251659264" behindDoc="1" locked="0" layoutInCell="1" allowOverlap="1" wp14:anchorId="6013FF07" wp14:editId="05FF9A9B">
            <wp:simplePos x="0" y="0"/>
            <wp:positionH relativeFrom="margin">
              <wp:align>center</wp:align>
            </wp:positionH>
            <wp:positionV relativeFrom="paragraph">
              <wp:posOffset>191218</wp:posOffset>
            </wp:positionV>
            <wp:extent cx="2761615" cy="2107565"/>
            <wp:effectExtent l="12700" t="12700" r="6985" b="13335"/>
            <wp:wrapTight wrapText="bothSides">
              <wp:wrapPolygon edited="0">
                <wp:start x="-99" y="-130"/>
                <wp:lineTo x="-99" y="21607"/>
                <wp:lineTo x="21555" y="21607"/>
                <wp:lineTo x="21555" y="-130"/>
                <wp:lineTo x="-99" y="-130"/>
              </wp:wrapPolygon>
            </wp:wrapTight>
            <wp:docPr id="1981950804" name="Picture 2" descr="A close-up of a whiteboard with word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1950804" name="Picture 2" descr="A close-up of a whiteboard with words&#10;&#10;AI-generated content may be incorrect."/>
                    <pic:cNvPicPr/>
                  </pic:nvPicPr>
                  <pic:blipFill>
                    <a:blip r:embed="rId7" cstate="print">
                      <a:extLst>
                        <a:ext uri="{28A0092B-C50C-407E-A947-70E740481C1C}">
                          <a14:useLocalDpi xmlns:a14="http://schemas.microsoft.com/office/drawing/2010/main" val="0"/>
                        </a:ext>
                      </a:extLst>
                    </a:blip>
                    <a:stretch>
                      <a:fillRect/>
                    </a:stretch>
                  </pic:blipFill>
                  <pic:spPr>
                    <a:xfrm>
                      <a:off x="0" y="0"/>
                      <a:ext cx="2761615" cy="2107565"/>
                    </a:xfrm>
                    <a:prstGeom prst="rect">
                      <a:avLst/>
                    </a:prstGeom>
                    <a:ln>
                      <a:solidFill>
                        <a:schemeClr val="tx1"/>
                      </a:solidFill>
                    </a:ln>
                  </pic:spPr>
                </pic:pic>
              </a:graphicData>
            </a:graphic>
            <wp14:sizeRelH relativeFrom="page">
              <wp14:pctWidth>0</wp14:pctWidth>
            </wp14:sizeRelH>
            <wp14:sizeRelV relativeFrom="page">
              <wp14:pctHeight>0</wp14:pctHeight>
            </wp14:sizeRelV>
          </wp:anchor>
        </w:drawing>
      </w:r>
    </w:p>
    <w:p w14:paraId="129F6B10" w14:textId="27758BF3" w:rsidR="00F83C82" w:rsidRDefault="00F83C82" w:rsidP="009A4E0B">
      <w:pPr>
        <w:tabs>
          <w:tab w:val="right" w:pos="9026"/>
        </w:tabs>
        <w:spacing w:line="276" w:lineRule="auto"/>
        <w:jc w:val="both"/>
      </w:pPr>
    </w:p>
    <w:p w14:paraId="55B006D1" w14:textId="77777777" w:rsidR="00F83C82" w:rsidRDefault="00F83C82" w:rsidP="009A4E0B">
      <w:pPr>
        <w:tabs>
          <w:tab w:val="right" w:pos="9026"/>
        </w:tabs>
        <w:spacing w:line="276" w:lineRule="auto"/>
        <w:jc w:val="both"/>
      </w:pPr>
    </w:p>
    <w:p w14:paraId="41BE3D65" w14:textId="77777777" w:rsidR="00F83C82" w:rsidRDefault="00F83C82" w:rsidP="009A4E0B">
      <w:pPr>
        <w:tabs>
          <w:tab w:val="right" w:pos="9026"/>
        </w:tabs>
        <w:spacing w:line="276" w:lineRule="auto"/>
        <w:jc w:val="both"/>
      </w:pPr>
    </w:p>
    <w:p w14:paraId="32342BE5" w14:textId="77777777" w:rsidR="00F83C82" w:rsidRDefault="00F83C82" w:rsidP="009A4E0B">
      <w:pPr>
        <w:tabs>
          <w:tab w:val="right" w:pos="9026"/>
        </w:tabs>
        <w:spacing w:line="276" w:lineRule="auto"/>
        <w:jc w:val="both"/>
      </w:pPr>
    </w:p>
    <w:p w14:paraId="7EB4CD2C" w14:textId="77777777" w:rsidR="00F83C82" w:rsidRDefault="00F83C82" w:rsidP="009A4E0B">
      <w:pPr>
        <w:tabs>
          <w:tab w:val="right" w:pos="9026"/>
        </w:tabs>
        <w:spacing w:line="276" w:lineRule="auto"/>
        <w:jc w:val="both"/>
      </w:pPr>
    </w:p>
    <w:p w14:paraId="40FF736A" w14:textId="77777777" w:rsidR="00F83C82" w:rsidRDefault="00F83C82" w:rsidP="009A4E0B">
      <w:pPr>
        <w:tabs>
          <w:tab w:val="right" w:pos="9026"/>
        </w:tabs>
        <w:spacing w:line="276" w:lineRule="auto"/>
        <w:jc w:val="both"/>
      </w:pPr>
    </w:p>
    <w:p w14:paraId="27BC6A0E" w14:textId="77777777" w:rsidR="00F83C82" w:rsidRDefault="00F83C82" w:rsidP="009A4E0B">
      <w:pPr>
        <w:tabs>
          <w:tab w:val="right" w:pos="9026"/>
        </w:tabs>
        <w:spacing w:line="276" w:lineRule="auto"/>
        <w:jc w:val="both"/>
      </w:pPr>
    </w:p>
    <w:p w14:paraId="085A1531" w14:textId="77777777" w:rsidR="00F83C82" w:rsidRDefault="00F83C82" w:rsidP="009A4E0B">
      <w:pPr>
        <w:tabs>
          <w:tab w:val="right" w:pos="9026"/>
        </w:tabs>
        <w:spacing w:line="276" w:lineRule="auto"/>
        <w:jc w:val="both"/>
      </w:pPr>
    </w:p>
    <w:p w14:paraId="7C64FFD0" w14:textId="28191844" w:rsidR="005340CB" w:rsidRDefault="00DF647F" w:rsidP="009A4E0B">
      <w:pPr>
        <w:tabs>
          <w:tab w:val="right" w:pos="9026"/>
        </w:tabs>
        <w:spacing w:line="276" w:lineRule="auto"/>
        <w:jc w:val="both"/>
      </w:pPr>
      <w:r>
        <w:t xml:space="preserve">These </w:t>
      </w:r>
      <w:r w:rsidR="007568A8">
        <w:t xml:space="preserve">recognisable </w:t>
      </w:r>
      <w:r>
        <w:t xml:space="preserve">formal expectations </w:t>
      </w:r>
      <w:r w:rsidR="00CE3B90">
        <w:t xml:space="preserve">were and are developed </w:t>
      </w:r>
      <w:r w:rsidR="00F44A0A">
        <w:t xml:space="preserve">within those </w:t>
      </w:r>
      <w:r w:rsidR="006B3D83">
        <w:t xml:space="preserve">Eurocentric </w:t>
      </w:r>
      <w:r w:rsidR="00D41C55">
        <w:t>knowledge systems</w:t>
      </w:r>
      <w:r w:rsidR="006E210D">
        <w:t>. We can</w:t>
      </w:r>
      <w:r w:rsidR="00395088">
        <w:t xml:space="preserve"> trac</w:t>
      </w:r>
      <w:r w:rsidR="006E210D">
        <w:t>e them</w:t>
      </w:r>
      <w:r w:rsidR="00395088">
        <w:t xml:space="preserve"> back to the rhetorical forefathers of Ancient Greece and Rome</w:t>
      </w:r>
      <w:r w:rsidR="00E21B6F">
        <w:t>,</w:t>
      </w:r>
      <w:r w:rsidR="00AF1D4B">
        <w:t xml:space="preserve"> who used rhetoric</w:t>
      </w:r>
      <w:r w:rsidR="00D377B1">
        <w:t xml:space="preserve"> as a tool to silence</w:t>
      </w:r>
      <w:r w:rsidR="001A081F">
        <w:t xml:space="preserve">, </w:t>
      </w:r>
      <w:r w:rsidR="001173C6">
        <w:t xml:space="preserve">to </w:t>
      </w:r>
      <w:r w:rsidR="001A081F">
        <w:t xml:space="preserve">oppress, and </w:t>
      </w:r>
      <w:r w:rsidR="00E22AA0">
        <w:t xml:space="preserve">to </w:t>
      </w:r>
      <w:r w:rsidR="00D45F4F">
        <w:t>justify the unjust</w:t>
      </w:r>
      <w:r w:rsidR="00395088">
        <w:t>.</w:t>
      </w:r>
      <w:r w:rsidR="00F53B56">
        <w:rPr>
          <w:rStyle w:val="FootnoteReference"/>
        </w:rPr>
        <w:footnoteReference w:id="15"/>
      </w:r>
      <w:r w:rsidR="000716A5">
        <w:t xml:space="preserve"> </w:t>
      </w:r>
      <w:r w:rsidR="00D71038">
        <w:t>Here,</w:t>
      </w:r>
      <w:r w:rsidR="003746B8">
        <w:t xml:space="preserve"> </w:t>
      </w:r>
      <w:r w:rsidR="003746B8">
        <w:lastRenderedPageBreak/>
        <w:t xml:space="preserve">the notion of </w:t>
      </w:r>
      <w:r w:rsidR="00AA4BD6">
        <w:t>academic</w:t>
      </w:r>
      <w:r w:rsidR="003746B8">
        <w:t xml:space="preserve"> </w:t>
      </w:r>
      <w:r w:rsidR="007B2A77">
        <w:t xml:space="preserve">freedom </w:t>
      </w:r>
      <w:r w:rsidR="003746B8">
        <w:t>is becoming complicated.</w:t>
      </w:r>
      <w:r w:rsidR="006B3D83">
        <w:t xml:space="preserve"> </w:t>
      </w:r>
      <w:r w:rsidR="00A5069E">
        <w:t xml:space="preserve">For what does it matter if you are free to speak if the speech </w:t>
      </w:r>
      <w:r w:rsidR="004D69EF">
        <w:t>must be constrained within formal expectations</w:t>
      </w:r>
      <w:r w:rsidR="006C6DA8">
        <w:t xml:space="preserve">, lest it be devalued? </w:t>
      </w:r>
      <w:r w:rsidR="009946A2">
        <w:t>W</w:t>
      </w:r>
      <w:r w:rsidR="00151B6A">
        <w:t>hat does it matter if you are free to speak if you</w:t>
      </w:r>
      <w:r w:rsidR="006B3D83">
        <w:t xml:space="preserve"> must conform to a (language) system that was cultivated in the process of subjugation</w:t>
      </w:r>
      <w:r w:rsidR="006F77D8">
        <w:t xml:space="preserve">, </w:t>
      </w:r>
      <w:r w:rsidR="006B3D83">
        <w:t xml:space="preserve">or even cultivated for the very </w:t>
      </w:r>
      <w:r w:rsidR="006B3D83">
        <w:rPr>
          <w:i/>
          <w:iCs/>
        </w:rPr>
        <w:t xml:space="preserve">purpose </w:t>
      </w:r>
      <w:r w:rsidR="006B3D83">
        <w:t>of subjugation?</w:t>
      </w:r>
      <w:r w:rsidR="00BF537F">
        <w:rPr>
          <w:rStyle w:val="FootnoteReference"/>
        </w:rPr>
        <w:footnoteReference w:id="16"/>
      </w:r>
      <w:r w:rsidR="007C7696">
        <w:t xml:space="preserve"> </w:t>
      </w:r>
      <w:r w:rsidR="0099187B">
        <w:t>Finally, what does it matter if free academic expression is a right if the tools to engage in this expression are sequestered behind high walls?</w:t>
      </w:r>
      <w:r w:rsidR="005340CB">
        <w:t xml:space="preserve"> </w:t>
      </w:r>
      <w:r w:rsidR="00DF0434">
        <w:t xml:space="preserve">To </w:t>
      </w:r>
      <w:r w:rsidR="00394B98">
        <w:t>distort</w:t>
      </w:r>
      <w:r w:rsidR="00DF0434">
        <w:t xml:space="preserve"> Orwell: s</w:t>
      </w:r>
      <w:r w:rsidR="00151B6A">
        <w:t>ome</w:t>
      </w:r>
      <w:r w:rsidR="00C520ED">
        <w:t xml:space="preserve"> people</w:t>
      </w:r>
      <w:r w:rsidR="00151B6A">
        <w:t xml:space="preserve">, it seems, are </w:t>
      </w:r>
      <w:proofErr w:type="gramStart"/>
      <w:r w:rsidR="00151B6A">
        <w:t>more free</w:t>
      </w:r>
      <w:proofErr w:type="gramEnd"/>
      <w:r w:rsidR="00151B6A">
        <w:t xml:space="preserve"> than others.</w:t>
      </w:r>
      <w:r w:rsidR="00B84E6C">
        <w:rPr>
          <w:rStyle w:val="FootnoteReference"/>
        </w:rPr>
        <w:footnoteReference w:id="17"/>
      </w:r>
    </w:p>
    <w:p w14:paraId="3D868060" w14:textId="77777777" w:rsidR="006F7726" w:rsidRDefault="006F7726" w:rsidP="009A4E0B">
      <w:pPr>
        <w:tabs>
          <w:tab w:val="right" w:pos="9026"/>
        </w:tabs>
        <w:spacing w:line="276" w:lineRule="auto"/>
        <w:jc w:val="both"/>
      </w:pPr>
    </w:p>
    <w:p w14:paraId="003E17EB" w14:textId="1D68C41B" w:rsidR="00562378" w:rsidRDefault="000534B6" w:rsidP="00562378">
      <w:pPr>
        <w:spacing w:line="276" w:lineRule="auto"/>
        <w:jc w:val="center"/>
        <w:rPr>
          <w:i/>
          <w:iCs/>
        </w:rPr>
      </w:pPr>
      <w:r>
        <w:rPr>
          <w:i/>
          <w:iCs/>
        </w:rPr>
        <w:t xml:space="preserve">A BRIEF INTERLUDE: </w:t>
      </w:r>
      <w:r w:rsidR="00112FF5" w:rsidRPr="003D3EDE">
        <w:rPr>
          <w:i/>
          <w:iCs/>
        </w:rPr>
        <w:t>PROMOTING</w:t>
      </w:r>
      <w:r w:rsidR="00C33DBC" w:rsidRPr="003D3EDE">
        <w:rPr>
          <w:i/>
          <w:iCs/>
        </w:rPr>
        <w:t xml:space="preserve"> FREEDOM.</w:t>
      </w:r>
    </w:p>
    <w:p w14:paraId="3DF2B6BC" w14:textId="75B68324" w:rsidR="00845820" w:rsidRDefault="000534B6" w:rsidP="00EA0488">
      <w:pPr>
        <w:spacing w:line="276" w:lineRule="auto"/>
      </w:pPr>
      <w:r>
        <w:t xml:space="preserve">To understand what language makes us freer or less free, and thereby to understand </w:t>
      </w:r>
      <w:r w:rsidR="007C2775">
        <w:t xml:space="preserve">what academic freedoms </w:t>
      </w:r>
      <w:r w:rsidR="001E7AC6">
        <w:t xml:space="preserve">we </w:t>
      </w:r>
      <w:r w:rsidR="007C2775">
        <w:t>are afforded, we must understand what freedom itself is</w:t>
      </w:r>
      <w:r w:rsidR="00056E7E">
        <w:t xml:space="preserve">—a task that has inspired and haunted countless philosophers, economists, social theorists, </w:t>
      </w:r>
      <w:r w:rsidR="00300317">
        <w:t xml:space="preserve">poets, </w:t>
      </w:r>
      <w:r w:rsidR="004300BE">
        <w:t>and civilians. To be free or not to be free, that is the question.</w:t>
      </w:r>
      <w:r w:rsidR="00672CBA">
        <w:t xml:space="preserve"> </w:t>
      </w:r>
      <w:r w:rsidR="00313145">
        <w:t xml:space="preserve">With time enough, we </w:t>
      </w:r>
      <w:r w:rsidR="00282DF9">
        <w:t>could trace the origins of the word</w:t>
      </w:r>
      <w:r w:rsidR="00C31A8B">
        <w:t xml:space="preserve"> through Old Frisian and </w:t>
      </w:r>
      <w:r w:rsidR="006F77D8">
        <w:t>German</w:t>
      </w:r>
      <w:r w:rsidR="00C31A8B">
        <w:t xml:space="preserve"> cognates</w:t>
      </w:r>
      <w:r w:rsidR="00282DF9">
        <w:t>—</w:t>
      </w:r>
      <w:proofErr w:type="spellStart"/>
      <w:r w:rsidR="00053ED9">
        <w:rPr>
          <w:i/>
          <w:iCs/>
        </w:rPr>
        <w:t>frīd</w:t>
      </w:r>
      <w:r w:rsidR="00C31A8B">
        <w:rPr>
          <w:i/>
          <w:iCs/>
        </w:rPr>
        <w:t>ōm</w:t>
      </w:r>
      <w:proofErr w:type="spellEnd"/>
      <w:r w:rsidR="00C31A8B">
        <w:rPr>
          <w:i/>
          <w:iCs/>
        </w:rPr>
        <w:t xml:space="preserve">, </w:t>
      </w:r>
      <w:proofErr w:type="spellStart"/>
      <w:r w:rsidR="00C31A8B">
        <w:rPr>
          <w:i/>
          <w:iCs/>
        </w:rPr>
        <w:t>vrītuom</w:t>
      </w:r>
      <w:proofErr w:type="spellEnd"/>
      <w:r w:rsidR="00C31A8B">
        <w:rPr>
          <w:i/>
          <w:iCs/>
        </w:rPr>
        <w:t xml:space="preserve">, </w:t>
      </w:r>
      <w:proofErr w:type="spellStart"/>
      <w:r w:rsidR="00C31A8B">
        <w:rPr>
          <w:i/>
          <w:iCs/>
        </w:rPr>
        <w:t>frīheit</w:t>
      </w:r>
      <w:proofErr w:type="spellEnd"/>
      <w:r w:rsidR="00C31A8B">
        <w:t>—</w:t>
      </w:r>
      <w:r w:rsidR="00E50E6A">
        <w:t xml:space="preserve">and map out its intersections with </w:t>
      </w:r>
      <w:r w:rsidR="006506D4">
        <w:t xml:space="preserve">imperialism, </w:t>
      </w:r>
      <w:r w:rsidR="00B64E71">
        <w:t xml:space="preserve">colonisation, slavery, </w:t>
      </w:r>
      <w:r w:rsidR="00F67A68">
        <w:t xml:space="preserve">suffrage, </w:t>
      </w:r>
      <w:r w:rsidR="002652B4">
        <w:t xml:space="preserve">and </w:t>
      </w:r>
      <w:r w:rsidR="001C759E">
        <w:t>civil rights movements</w:t>
      </w:r>
      <w:r w:rsidR="008559A6">
        <w:t>.</w:t>
      </w:r>
      <w:r w:rsidR="006B40AE">
        <w:rPr>
          <w:rStyle w:val="FootnoteReference"/>
        </w:rPr>
        <w:footnoteReference w:id="18"/>
      </w:r>
      <w:r w:rsidR="006B40AE">
        <w:t xml:space="preserve"> </w:t>
      </w:r>
      <w:r w:rsidR="003408EB">
        <w:t>We could, I imagine, get lost in freedom</w:t>
      </w:r>
      <w:r w:rsidR="00BE66E9">
        <w:t xml:space="preserve">, become trapped </w:t>
      </w:r>
      <w:r w:rsidR="0028143D">
        <w:t xml:space="preserve">in semantics and </w:t>
      </w:r>
      <w:r w:rsidR="00594A60">
        <w:t xml:space="preserve">etymologies and </w:t>
      </w:r>
      <w:r w:rsidR="00772FC5">
        <w:t xml:space="preserve">paradoxes of free will and choice and religion. </w:t>
      </w:r>
      <w:r w:rsidR="00076C86">
        <w:t>You</w:t>
      </w:r>
      <w:r w:rsidR="007579EE">
        <w:t xml:space="preserve"> wi</w:t>
      </w:r>
      <w:r w:rsidR="00076C86">
        <w:t xml:space="preserve">ll forgive me for leaving the latter to Barry </w:t>
      </w:r>
      <w:r w:rsidR="00D27F01">
        <w:t>Schwartz.</w:t>
      </w:r>
      <w:r w:rsidR="00AE4EBD">
        <w:rPr>
          <w:rStyle w:val="FootnoteReference"/>
        </w:rPr>
        <w:footnoteReference w:id="19"/>
      </w:r>
      <w:r w:rsidR="0080691F">
        <w:t xml:space="preserve"> </w:t>
      </w:r>
    </w:p>
    <w:p w14:paraId="7CFEA216" w14:textId="654D78EB" w:rsidR="002A503F" w:rsidRDefault="0080691F" w:rsidP="00EA0488">
      <w:pPr>
        <w:spacing w:line="276" w:lineRule="auto"/>
      </w:pPr>
      <w:r>
        <w:t>To narrow it down</w:t>
      </w:r>
      <w:r w:rsidR="00977103">
        <w:t xml:space="preserve"> to the key concerns of this essay—race, language, and expression—American Emeritus Professor of History, Tyler Stovall, is likely the most useful </w:t>
      </w:r>
      <w:r w:rsidR="006F7AC1">
        <w:t>“knower” or thinker</w:t>
      </w:r>
      <w:r w:rsidR="00EA0488">
        <w:t xml:space="preserve">. Stovall </w:t>
      </w:r>
      <w:r w:rsidR="002A503F">
        <w:t xml:space="preserve">asked </w:t>
      </w:r>
      <w:r w:rsidR="00EA0488">
        <w:t>the</w:t>
      </w:r>
      <w:r w:rsidR="002A503F">
        <w:t xml:space="preserve"> question</w:t>
      </w:r>
      <w:r w:rsidR="00A94716">
        <w:t xml:space="preserve"> of what freedom means</w:t>
      </w:r>
      <w:r w:rsidR="002A503F">
        <w:t xml:space="preserve"> at the intersection of race and modern political theory</w:t>
      </w:r>
      <w:r w:rsidR="00471748">
        <w:t>, concluding that “ideas of freedom in the modern world have been racialized”.</w:t>
      </w:r>
      <w:r w:rsidR="000E1DC5">
        <w:rPr>
          <w:rStyle w:val="FootnoteReference"/>
        </w:rPr>
        <w:footnoteReference w:id="20"/>
      </w:r>
      <w:r w:rsidR="00471748">
        <w:t xml:space="preserve"> Specifically</w:t>
      </w:r>
      <w:r w:rsidR="00130124">
        <w:t>,</w:t>
      </w:r>
    </w:p>
    <w:p w14:paraId="1EEEA471" w14:textId="142602A3" w:rsidR="00A77DB0" w:rsidRPr="0068488A" w:rsidRDefault="00A77DB0" w:rsidP="00A77DB0">
      <w:pPr>
        <w:spacing w:line="240" w:lineRule="auto"/>
        <w:ind w:left="720"/>
      </w:pPr>
      <w:r>
        <w:t>whiteness and white racial identity</w:t>
      </w:r>
      <w:r w:rsidR="00471748">
        <w:t xml:space="preserve"> [are]</w:t>
      </w:r>
      <w:r>
        <w:t xml:space="preserve"> intrinsic to modern liberty. Models of autonomy and self-empowerment have often come with a racial dimension</w:t>
      </w:r>
      <w:r w:rsidR="0053147A">
        <w:t xml:space="preserve"> [</w:t>
      </w:r>
      <w:r>
        <w:t>…</w:t>
      </w:r>
      <w:r w:rsidR="0053147A">
        <w:t>]</w:t>
      </w:r>
      <w:r>
        <w:t xml:space="preserve"> To be free is to be white, and to be white is to be free.</w:t>
      </w:r>
      <w:r>
        <w:rPr>
          <w:rStyle w:val="FootnoteReference"/>
        </w:rPr>
        <w:footnoteReference w:id="21"/>
      </w:r>
      <w:r>
        <w:t xml:space="preserve"> </w:t>
      </w:r>
    </w:p>
    <w:p w14:paraId="0D76BAF3" w14:textId="54B128C8" w:rsidR="00A77DB0" w:rsidRPr="00916101" w:rsidRDefault="007E5A98" w:rsidP="00466240">
      <w:pPr>
        <w:spacing w:line="276" w:lineRule="auto"/>
      </w:pPr>
      <w:r>
        <w:t>While many position freedom and race as fearsome foes</w:t>
      </w:r>
      <w:r w:rsidR="0053655F">
        <w:t>—</w:t>
      </w:r>
      <w:r>
        <w:t>never the twain</w:t>
      </w:r>
      <w:r w:rsidR="007A2658">
        <w:t xml:space="preserve"> shall</w:t>
      </w:r>
      <w:r>
        <w:t xml:space="preserve"> </w:t>
      </w:r>
      <w:r w:rsidR="009558E4">
        <w:t>meet</w:t>
      </w:r>
      <w:r w:rsidR="00383FA9">
        <w:t>—</w:t>
      </w:r>
      <w:r w:rsidR="00BA09C2">
        <w:t>Stovall insists that they are also allies</w:t>
      </w:r>
      <w:r w:rsidR="00FB234E">
        <w:t xml:space="preserve"> whose histories are enmeshed. </w:t>
      </w:r>
      <w:r w:rsidR="005406BE">
        <w:t xml:space="preserve">This concept is, I argue, </w:t>
      </w:r>
      <w:r w:rsidR="00287F56">
        <w:t>a vital</w:t>
      </w:r>
      <w:r w:rsidR="005332DD">
        <w:t xml:space="preserve"> part of deconstructing the paradigm of whiteness as invisible</w:t>
      </w:r>
      <w:r w:rsidR="00FB7FE8">
        <w:t>. T</w:t>
      </w:r>
      <w:r w:rsidR="00CB23A1">
        <w:t xml:space="preserve">o </w:t>
      </w:r>
      <w:r w:rsidR="005272F8">
        <w:t>state</w:t>
      </w:r>
      <w:r w:rsidR="00CB23A1">
        <w:t xml:space="preserve"> that freedom and race are always enemies </w:t>
      </w:r>
      <w:r w:rsidR="00FE4A45">
        <w:t xml:space="preserve">is to </w:t>
      </w:r>
      <w:r w:rsidR="003F48E0">
        <w:t xml:space="preserve">think only of the racial identities </w:t>
      </w:r>
      <w:r w:rsidR="009C244A">
        <w:t xml:space="preserve">whose histories </w:t>
      </w:r>
      <w:r w:rsidR="000A3C48">
        <w:t>are less free</w:t>
      </w:r>
      <w:r w:rsidR="00DD252C">
        <w:t>;</w:t>
      </w:r>
      <w:r w:rsidR="000A3C48">
        <w:t xml:space="preserve"> that </w:t>
      </w:r>
      <w:r w:rsidR="00AB614F">
        <w:t xml:space="preserve">is, to think </w:t>
      </w:r>
      <w:r w:rsidR="00FD7236">
        <w:t xml:space="preserve">of whiteness yet again </w:t>
      </w:r>
      <w:r w:rsidR="000E648E">
        <w:t xml:space="preserve">as something neither privileged nor subjugated, simply the </w:t>
      </w:r>
      <w:r w:rsidR="00C17D8B">
        <w:rPr>
          <w:i/>
          <w:iCs/>
        </w:rPr>
        <w:t>de facto</w:t>
      </w:r>
      <w:r w:rsidR="000E648E">
        <w:t>.</w:t>
      </w:r>
      <w:r w:rsidR="00C17D8B">
        <w:t xml:space="preserve"> </w:t>
      </w:r>
      <w:r w:rsidR="00850982">
        <w:t>Does it follow, then, that to “</w:t>
      </w:r>
      <w:r w:rsidR="00684EDE">
        <w:t>promote the principles of academic freedom” is to “promote the principles of academic whiteness”</w:t>
      </w:r>
      <w:r w:rsidR="00552C7E">
        <w:t xml:space="preserve">? </w:t>
      </w:r>
      <w:r w:rsidR="007149B0">
        <w:t>Will</w:t>
      </w:r>
      <w:r w:rsidR="00CA5C08">
        <w:t xml:space="preserve"> only white students</w:t>
      </w:r>
      <w:r w:rsidR="006F77D8">
        <w:t xml:space="preserve"> and</w:t>
      </w:r>
      <w:r w:rsidR="00CA5C08">
        <w:t xml:space="preserve"> </w:t>
      </w:r>
      <w:r w:rsidR="00CA5C08">
        <w:lastRenderedPageBreak/>
        <w:t xml:space="preserve">white faculty ever experience the breadth of academic freedom that we wish to uphold? </w:t>
      </w:r>
      <w:r w:rsidR="006E6B88">
        <w:t>Or that every white person who steps into the halls of the University will automatically be afforded this privilege without scruple?</w:t>
      </w:r>
      <w:r w:rsidR="0056314A">
        <w:t xml:space="preserve"> While Stovall is undoubtedly </w:t>
      </w:r>
      <w:r w:rsidR="00CF25A2">
        <w:t xml:space="preserve">correct in his </w:t>
      </w:r>
      <w:r w:rsidR="006F77D8">
        <w:t>assertions</w:t>
      </w:r>
      <w:r w:rsidR="00CF25A2">
        <w:t xml:space="preserve"> about the origins of freedom, particularly in an American context,</w:t>
      </w:r>
      <w:r w:rsidR="006E6B88">
        <w:t xml:space="preserve"> I </w:t>
      </w:r>
      <w:r w:rsidR="00090D67">
        <w:t xml:space="preserve">struggle to </w:t>
      </w:r>
      <w:r w:rsidR="00431422">
        <w:t xml:space="preserve">push that argument to </w:t>
      </w:r>
      <w:r w:rsidR="00CC0F9B">
        <w:t xml:space="preserve">the </w:t>
      </w:r>
      <w:r w:rsidR="00C551C1">
        <w:t xml:space="preserve">subsequent </w:t>
      </w:r>
      <w:r w:rsidR="00CC0F9B">
        <w:t xml:space="preserve">conclusions that seem </w:t>
      </w:r>
      <w:r w:rsidR="00D527B0">
        <w:t>to follow</w:t>
      </w:r>
      <w:r w:rsidR="00CC0F9B">
        <w:t>.</w:t>
      </w:r>
      <w:r w:rsidR="00FF3FB3">
        <w:t xml:space="preserve"> </w:t>
      </w:r>
      <w:r w:rsidR="003B718E">
        <w:t xml:space="preserve">This struggle </w:t>
      </w:r>
      <w:r w:rsidR="001C70EF">
        <w:t xml:space="preserve">could be something </w:t>
      </w:r>
      <w:r w:rsidR="00124DED">
        <w:t>to do with</w:t>
      </w:r>
      <w:r w:rsidR="001C70EF">
        <w:t xml:space="preserve"> the language of freedom</w:t>
      </w:r>
      <w:r w:rsidR="0023355F">
        <w:t xml:space="preserve">, in </w:t>
      </w:r>
      <w:r w:rsidR="00F834DC">
        <w:t xml:space="preserve">the distinction between “freedom </w:t>
      </w:r>
      <w:r w:rsidR="00F56BB4">
        <w:t>of</w:t>
      </w:r>
      <w:r w:rsidR="00F834DC">
        <w:t>” (</w:t>
      </w:r>
      <w:r w:rsidR="00A06231">
        <w:t>speech</w:t>
      </w:r>
      <w:r w:rsidR="00F834DC">
        <w:t>, discuss</w:t>
      </w:r>
      <w:r w:rsidR="00A06231">
        <w:t>ion</w:t>
      </w:r>
      <w:r w:rsidR="00F834DC">
        <w:t xml:space="preserve">, </w:t>
      </w:r>
      <w:r w:rsidR="00A06231">
        <w:t>argumentation</w:t>
      </w:r>
      <w:r w:rsidR="00F834DC">
        <w:t xml:space="preserve">) and “freedom from” (constraints, </w:t>
      </w:r>
      <w:r w:rsidR="00515BF2">
        <w:t xml:space="preserve">hardships, </w:t>
      </w:r>
      <w:r w:rsidR="008550CE">
        <w:t xml:space="preserve">barriers). </w:t>
      </w:r>
      <w:r w:rsidR="00507111">
        <w:t>“</w:t>
      </w:r>
      <w:r w:rsidR="009B64E6">
        <w:t>F</w:t>
      </w:r>
      <w:r w:rsidR="00507111">
        <w:t xml:space="preserve">reedom </w:t>
      </w:r>
      <w:r w:rsidR="00BD1882">
        <w:t>of</w:t>
      </w:r>
      <w:r w:rsidR="00507111">
        <w:t xml:space="preserve">” </w:t>
      </w:r>
      <w:r w:rsidR="009B64E6">
        <w:t>seems to be</w:t>
      </w:r>
      <w:r w:rsidR="00507111">
        <w:t xml:space="preserve"> the assumed </w:t>
      </w:r>
      <w:r w:rsidR="00EC0592">
        <w:t>default, the right enshrined in Charters (“the freedom of staff and students</w:t>
      </w:r>
      <w:r w:rsidR="00AB467D">
        <w:t xml:space="preserve"> [</w:t>
      </w:r>
      <w:r w:rsidR="00EC0592">
        <w:t>…</w:t>
      </w:r>
      <w:r w:rsidR="00AB467D">
        <w:t>]</w:t>
      </w:r>
      <w:r w:rsidR="00EC0592">
        <w:t xml:space="preserve"> </w:t>
      </w:r>
      <w:r w:rsidR="00EC0592" w:rsidRPr="00687EB2">
        <w:t>to</w:t>
      </w:r>
      <w:r w:rsidR="00EC0592">
        <w:t xml:space="preserve"> express their opinions and beliefs”) and Constitutions (“freedom of communication on political matters”).</w:t>
      </w:r>
      <w:r w:rsidR="00EC0592">
        <w:rPr>
          <w:rStyle w:val="FootnoteReference"/>
        </w:rPr>
        <w:footnoteReference w:id="22"/>
      </w:r>
      <w:r w:rsidR="00EC0592">
        <w:t xml:space="preserve"> “Freedom </w:t>
      </w:r>
      <w:r w:rsidR="00EC0592">
        <w:rPr>
          <w:i/>
          <w:iCs/>
        </w:rPr>
        <w:t>from</w:t>
      </w:r>
      <w:r w:rsidR="00EC0592">
        <w:t xml:space="preserve">”, then, </w:t>
      </w:r>
      <w:r w:rsidR="00AB1A10">
        <w:t>is the overlay made complex by race, socioeconomic status, or native language—</w:t>
      </w:r>
      <w:r w:rsidR="00916101">
        <w:t xml:space="preserve">we </w:t>
      </w:r>
      <w:r w:rsidR="00687EB2">
        <w:t xml:space="preserve">have </w:t>
      </w:r>
      <w:r w:rsidR="00916101">
        <w:rPr>
          <w:i/>
          <w:iCs/>
        </w:rPr>
        <w:t>free</w:t>
      </w:r>
      <w:r w:rsidR="00687EB2">
        <w:rPr>
          <w:i/>
          <w:iCs/>
        </w:rPr>
        <w:t xml:space="preserve">dom of </w:t>
      </w:r>
      <w:r w:rsidR="00687EB2" w:rsidRPr="00687EB2">
        <w:t>speech</w:t>
      </w:r>
      <w:r w:rsidR="00916101">
        <w:rPr>
          <w:i/>
          <w:iCs/>
        </w:rPr>
        <w:t xml:space="preserve">, </w:t>
      </w:r>
      <w:r w:rsidR="00916101">
        <w:t xml:space="preserve">but not </w:t>
      </w:r>
      <w:r w:rsidR="00687EB2">
        <w:rPr>
          <w:i/>
          <w:iCs/>
        </w:rPr>
        <w:t>freedom from</w:t>
      </w:r>
      <w:r w:rsidR="00916101">
        <w:rPr>
          <w:i/>
          <w:iCs/>
        </w:rPr>
        <w:t xml:space="preserve"> </w:t>
      </w:r>
      <w:r w:rsidR="00916101">
        <w:t>constraints of language.</w:t>
      </w:r>
    </w:p>
    <w:p w14:paraId="5F8B35AC" w14:textId="77777777" w:rsidR="00205740" w:rsidRDefault="00205740" w:rsidP="00562378">
      <w:pPr>
        <w:spacing w:line="276" w:lineRule="auto"/>
        <w:jc w:val="center"/>
        <w:rPr>
          <w:i/>
          <w:iCs/>
        </w:rPr>
      </w:pPr>
    </w:p>
    <w:p w14:paraId="09745D26" w14:textId="163D5854" w:rsidR="00205740" w:rsidRDefault="00EA749C" w:rsidP="00562378">
      <w:pPr>
        <w:spacing w:line="276" w:lineRule="auto"/>
        <w:jc w:val="center"/>
        <w:rPr>
          <w:i/>
          <w:iCs/>
        </w:rPr>
      </w:pPr>
      <w:r>
        <w:rPr>
          <w:i/>
          <w:iCs/>
        </w:rPr>
        <w:t xml:space="preserve">OUR MULTICULTURAL COMMUNITY. </w:t>
      </w:r>
    </w:p>
    <w:p w14:paraId="4A4EEFD4" w14:textId="52E574A1" w:rsidR="00FD2EAD" w:rsidRDefault="00561453" w:rsidP="004B23A8">
      <w:pPr>
        <w:spacing w:line="276" w:lineRule="auto"/>
      </w:pPr>
      <w:r>
        <w:t xml:space="preserve">The terms of the argument are set. Freedom of, </w:t>
      </w:r>
      <w:r w:rsidR="0034612A">
        <w:t>knowledge of.</w:t>
      </w:r>
      <w:r>
        <w:t xml:space="preserve"> </w:t>
      </w:r>
      <w:r w:rsidR="00434DEF">
        <w:t xml:space="preserve">This </w:t>
      </w:r>
      <w:r w:rsidR="00093E07">
        <w:t>may all come across</w:t>
      </w:r>
      <w:r w:rsidR="00FE4CBF">
        <w:t xml:space="preserve">, ironically, as the kind of academic work that is so often subject to the criticisms I am trying to engage with: </w:t>
      </w:r>
      <w:r w:rsidR="00A23774">
        <w:t xml:space="preserve">too rooted in theory, </w:t>
      </w:r>
      <w:r w:rsidR="00E8577A">
        <w:t xml:space="preserve">divorced </w:t>
      </w:r>
      <w:r w:rsidR="00202953">
        <w:t>from meaningful solutions</w:t>
      </w:r>
      <w:r w:rsidR="005340CB">
        <w:t xml:space="preserve">, </w:t>
      </w:r>
      <w:r w:rsidR="00202953">
        <w:t>praxis</w:t>
      </w:r>
      <w:r w:rsidR="004E34A6">
        <w:t xml:space="preserve">, </w:t>
      </w:r>
      <w:r w:rsidR="005340CB">
        <w:t xml:space="preserve">and </w:t>
      </w:r>
      <w:r w:rsidR="004E34A6">
        <w:t>action</w:t>
      </w:r>
      <w:r w:rsidR="00B15787">
        <w:t xml:space="preserve">. </w:t>
      </w:r>
      <w:r w:rsidR="007B24F8">
        <w:t>Let me turn</w:t>
      </w:r>
      <w:r w:rsidR="00B472A1">
        <w:t xml:space="preserve"> to the practical </w:t>
      </w:r>
      <w:r w:rsidR="00DF2434">
        <w:t>experiences</w:t>
      </w:r>
      <w:r w:rsidR="00B472A1">
        <w:t xml:space="preserve"> of freedom </w:t>
      </w:r>
      <w:r w:rsidR="004F0E35">
        <w:t xml:space="preserve">and constraint </w:t>
      </w:r>
      <w:r w:rsidR="00B472A1">
        <w:t>that we should, I think, be focusing on.</w:t>
      </w:r>
      <w:r w:rsidR="00811151">
        <w:t xml:space="preserve"> </w:t>
      </w:r>
    </w:p>
    <w:p w14:paraId="0EC5DFDB" w14:textId="5E012F51" w:rsidR="00205152" w:rsidRDefault="00B358B8" w:rsidP="003F7F66">
      <w:pPr>
        <w:spacing w:line="276" w:lineRule="auto"/>
        <w:jc w:val="both"/>
      </w:pPr>
      <w:r>
        <w:t>Let us assume</w:t>
      </w:r>
      <w:r w:rsidR="00205152">
        <w:t xml:space="preserve"> the barriers to</w:t>
      </w:r>
      <w:r w:rsidR="007C3A4F">
        <w:t xml:space="preserve"> academic freedom are largely entwined with the barriers to language</w:t>
      </w:r>
      <w:r>
        <w:t>. In that case,</w:t>
      </w:r>
      <w:r w:rsidR="003F7F66">
        <w:t xml:space="preserve"> the </w:t>
      </w:r>
      <w:r w:rsidR="00F3611A">
        <w:t>students</w:t>
      </w:r>
      <w:r w:rsidR="003F7F66">
        <w:t xml:space="preserve"> disproportionately impacted by these barriers</w:t>
      </w:r>
      <w:r w:rsidR="00D75E74">
        <w:t xml:space="preserve"> at the university level</w:t>
      </w:r>
      <w:r w:rsidR="003F7F66">
        <w:t xml:space="preserve"> are those for whom English is an additional language or dialect (EAL/D) </w:t>
      </w:r>
      <w:r w:rsidR="00CF0F1E">
        <w:t xml:space="preserve">and those for whom </w:t>
      </w:r>
      <w:r w:rsidR="00E242BD">
        <w:t xml:space="preserve">the formal expectations of academic communication are </w:t>
      </w:r>
      <w:r w:rsidR="006B6E4E">
        <w:t>unfamiliar</w:t>
      </w:r>
      <w:r w:rsidR="005904A0">
        <w:t>, such as first-in-family (FIF) students</w:t>
      </w:r>
      <w:r w:rsidR="0056414B">
        <w:t xml:space="preserve">. </w:t>
      </w:r>
      <w:r w:rsidR="003F2131">
        <w:t xml:space="preserve">In 2021, </w:t>
      </w:r>
      <w:r w:rsidR="003C341D">
        <w:t>35% of the University of Sydney’s cohort were identified as coming from non-English speaking backgrounds, and 12% were FIF</w:t>
      </w:r>
      <w:r w:rsidR="008A523A">
        <w:t>, with the number of prospective diverse students rising year on year according to</w:t>
      </w:r>
      <w:r w:rsidR="00791FEF">
        <w:t xml:space="preserve"> </w:t>
      </w:r>
      <w:r w:rsidR="0072374F">
        <w:t xml:space="preserve">Australian </w:t>
      </w:r>
      <w:r w:rsidR="00A216D0">
        <w:t>University Admissions Centre</w:t>
      </w:r>
      <w:r w:rsidR="008A523A">
        <w:t xml:space="preserve"> reports.</w:t>
      </w:r>
      <w:r w:rsidR="00087D6F">
        <w:rPr>
          <w:rStyle w:val="FootnoteReference"/>
        </w:rPr>
        <w:footnoteReference w:id="23"/>
      </w:r>
      <w:r w:rsidR="003C341D">
        <w:t xml:space="preserve"> </w:t>
      </w:r>
      <w:r w:rsidR="009C2620">
        <w:t xml:space="preserve">It is worth noting that these </w:t>
      </w:r>
      <w:r w:rsidR="00875F15">
        <w:t>experiences</w:t>
      </w:r>
      <w:r w:rsidR="009C2620">
        <w:t xml:space="preserve"> intersect and compound, not only with each other but with other barriers to </w:t>
      </w:r>
      <w:r w:rsidR="003D245A">
        <w:t>educational advantage</w:t>
      </w:r>
      <w:r w:rsidR="00E751DC">
        <w:t>,</w:t>
      </w:r>
      <w:r w:rsidR="003D245A">
        <w:t xml:space="preserve"> </w:t>
      </w:r>
      <w:r w:rsidR="00771E8E">
        <w:t xml:space="preserve">like </w:t>
      </w:r>
      <w:r w:rsidR="003D245A">
        <w:t xml:space="preserve">class, race, ability, </w:t>
      </w:r>
      <w:r w:rsidR="00DB035C">
        <w:t xml:space="preserve">gender, </w:t>
      </w:r>
      <w:r w:rsidR="00E751DC">
        <w:t xml:space="preserve">and </w:t>
      </w:r>
      <w:r w:rsidR="00DB035C">
        <w:t>socio</w:t>
      </w:r>
      <w:r w:rsidR="00AB24D1">
        <w:t>economic background</w:t>
      </w:r>
      <w:r w:rsidR="00DB035C">
        <w:t>.</w:t>
      </w:r>
      <w:r w:rsidR="007C74D2">
        <w:rPr>
          <w:rStyle w:val="FootnoteReference"/>
        </w:rPr>
        <w:footnoteReference w:id="24"/>
      </w:r>
      <w:r w:rsidR="00DB035C">
        <w:t xml:space="preserve"> </w:t>
      </w:r>
      <w:r w:rsidR="0056414B">
        <w:t>These</w:t>
      </w:r>
      <w:r w:rsidR="00180166">
        <w:t xml:space="preserve"> </w:t>
      </w:r>
      <w:r w:rsidR="0056414B">
        <w:t>students</w:t>
      </w:r>
      <w:r w:rsidR="00226A9B">
        <w:t xml:space="preserve"> </w:t>
      </w:r>
      <w:r w:rsidR="004768DC">
        <w:t xml:space="preserve">exhibit consistently lower </w:t>
      </w:r>
      <w:r w:rsidR="003440D0">
        <w:t>measures of academic self-efficacy (their belief in their potential to succeed academically)</w:t>
      </w:r>
      <w:r w:rsidR="001A78AD">
        <w:t xml:space="preserve">. </w:t>
      </w:r>
      <w:r w:rsidR="001A78AD">
        <w:lastRenderedPageBreak/>
        <w:t>This has been categorically</w:t>
      </w:r>
      <w:r w:rsidR="00021101">
        <w:t xml:space="preserve"> demonstrated in studies </w:t>
      </w:r>
      <w:r w:rsidR="00C412F2">
        <w:t xml:space="preserve">undertaken at Australian universities, </w:t>
      </w:r>
      <w:r w:rsidR="00021101">
        <w:t xml:space="preserve">such as Metcalf and Wiener’s focus on </w:t>
      </w:r>
      <w:r w:rsidR="00B66F29">
        <w:t>FIF</w:t>
      </w:r>
      <w:r w:rsidR="00021101">
        <w:t xml:space="preserve"> students or</w:t>
      </w:r>
      <w:r w:rsidR="00226A9B">
        <w:t xml:space="preserve"> Steele’s focus on </w:t>
      </w:r>
      <w:r w:rsidR="003037D2">
        <w:t>the failures of English Medium Instruction (EMI) to support EAL/D students</w:t>
      </w:r>
      <w:r w:rsidR="003440D0">
        <w:t>.</w:t>
      </w:r>
      <w:r w:rsidR="00CC076B">
        <w:rPr>
          <w:rStyle w:val="FootnoteReference"/>
        </w:rPr>
        <w:footnoteReference w:id="25"/>
      </w:r>
      <w:r w:rsidR="00653450">
        <w:t xml:space="preserve"> Metcalf and Weiner write:</w:t>
      </w:r>
    </w:p>
    <w:p w14:paraId="1FFE2CDF" w14:textId="57A21224" w:rsidR="00653450" w:rsidRDefault="00653450" w:rsidP="00014766">
      <w:pPr>
        <w:spacing w:line="276" w:lineRule="auto"/>
        <w:ind w:left="720"/>
      </w:pPr>
      <w:r>
        <w:t>First-generation students’ lack of knowledge of university protocols, together with the unfamiliar tertiary educational environment, creates fewer opportunities to experience accomplishments early in their university experience. The reduced number of early positive accomplishments relates to fewer occurrences of the internalised reciprocal process of evaluation and behavioural readjustment which are integral to the formation of academic self-efficacy.</w:t>
      </w:r>
      <w:r w:rsidR="00014766">
        <w:rPr>
          <w:rStyle w:val="FootnoteReference"/>
        </w:rPr>
        <w:footnoteReference w:id="26"/>
      </w:r>
    </w:p>
    <w:p w14:paraId="6D2863D6" w14:textId="400E1FF4" w:rsidR="00615B8D" w:rsidRDefault="00430EB2" w:rsidP="00F71310">
      <w:pPr>
        <w:spacing w:line="276" w:lineRule="auto"/>
        <w:jc w:val="both"/>
      </w:pPr>
      <w:r>
        <w:t>Entitlement to a liberty—such as academic freedom—</w:t>
      </w:r>
      <w:r w:rsidR="00434922">
        <w:t xml:space="preserve">is not the same as the </w:t>
      </w:r>
      <w:r w:rsidR="00434922">
        <w:rPr>
          <w:i/>
          <w:iCs/>
        </w:rPr>
        <w:t xml:space="preserve">availability </w:t>
      </w:r>
      <w:r w:rsidR="005A11C5">
        <w:t xml:space="preserve">and accessibility </w:t>
      </w:r>
      <w:r w:rsidR="00434922">
        <w:t>of that</w:t>
      </w:r>
      <w:r>
        <w:t xml:space="preserve"> liberty, and this is made clear by the focus on the “fewer opportunities” and “fewer occurrences” </w:t>
      </w:r>
      <w:r w:rsidR="00BD5436">
        <w:t xml:space="preserve">available </w:t>
      </w:r>
      <w:r w:rsidR="004F35AA">
        <w:t>to FIF university students.</w:t>
      </w:r>
      <w:r w:rsidR="00D25E04">
        <w:t xml:space="preserve"> </w:t>
      </w:r>
      <w:r w:rsidR="001717B9">
        <w:t xml:space="preserve">Steele concurs, describing </w:t>
      </w:r>
      <w:r w:rsidR="009D09E7">
        <w:t>students who find that “different communicative approaches” between native-English-speaking tutors and EAL/D students “impacted [the] ability to engage with, and benefit from, the instruction. Consequently, an opportunity for reciprocal learning between [students] and [their] supervisor were missed.”</w:t>
      </w:r>
      <w:r w:rsidR="001F5ABE">
        <w:rPr>
          <w:rStyle w:val="FootnoteReference"/>
        </w:rPr>
        <w:footnoteReference w:id="27"/>
      </w:r>
      <w:r w:rsidR="008769D1">
        <w:t xml:space="preserve"> Again</w:t>
      </w:r>
      <w:r w:rsidR="0010383C">
        <w:t>, we see that the constructs of language</w:t>
      </w:r>
      <w:r w:rsidR="005F00FE">
        <w:t xml:space="preserve">—high fluency expectations, the unwillingness to hear thoughts that </w:t>
      </w:r>
      <w:r w:rsidR="000F6F05">
        <w:t>are not</w:t>
      </w:r>
      <w:r w:rsidR="005F00FE">
        <w:t xml:space="preserve"> perfectly parcelled into </w:t>
      </w:r>
      <w:r w:rsidR="00D41C55">
        <w:t>highbrow</w:t>
      </w:r>
      <w:r w:rsidR="005F00FE">
        <w:t xml:space="preserve"> English, the assumption that language should be used to argue or discuss rather than clarify or connect—</w:t>
      </w:r>
      <w:r w:rsidR="00945233">
        <w:t xml:space="preserve">prevent true </w:t>
      </w:r>
      <w:r w:rsidR="005F00FE">
        <w:t xml:space="preserve">academic </w:t>
      </w:r>
      <w:r w:rsidR="00945233">
        <w:t>freedom for these students</w:t>
      </w:r>
      <w:r w:rsidR="00C242E9">
        <w:t>.</w:t>
      </w:r>
      <w:r w:rsidR="00592953">
        <w:rPr>
          <w:rStyle w:val="FootnoteReference"/>
        </w:rPr>
        <w:footnoteReference w:id="28"/>
      </w:r>
    </w:p>
    <w:p w14:paraId="13B335AF" w14:textId="6EB91820" w:rsidR="004B23A8" w:rsidRDefault="00592953" w:rsidP="00F71310">
      <w:pPr>
        <w:spacing w:line="276" w:lineRule="auto"/>
        <w:jc w:val="both"/>
      </w:pPr>
      <w:r>
        <w:t>Moreover, the</w:t>
      </w:r>
      <w:r w:rsidR="00C21701">
        <w:t xml:space="preserve"> very language used to describe academic freedom—as a means to “educate, discuss, […] disseminate</w:t>
      </w:r>
      <w:r w:rsidR="003D06BB">
        <w:t xml:space="preserve"> and publish […] and to contribute to public debate”</w:t>
      </w:r>
      <w:r w:rsidR="00A266E6">
        <w:t>—</w:t>
      </w:r>
      <w:r w:rsidR="00E02415">
        <w:t xml:space="preserve">belongs to the semantic field of argumentation or </w:t>
      </w:r>
      <w:r w:rsidR="00926BB9">
        <w:t>linear</w:t>
      </w:r>
      <w:r w:rsidR="00E02415">
        <w:t xml:space="preserve"> deliverance, </w:t>
      </w:r>
      <w:r w:rsidR="008F4E78">
        <w:t xml:space="preserve">reiterating the </w:t>
      </w:r>
      <w:r w:rsidR="006026AE">
        <w:t xml:space="preserve">Western </w:t>
      </w:r>
      <w:r w:rsidR="008F4E78">
        <w:t xml:space="preserve">idea that language should be used to promote a “one-way flow of information” </w:t>
      </w:r>
      <w:r w:rsidR="005C27F7">
        <w:t>from the knower t</w:t>
      </w:r>
      <w:r w:rsidR="001E4EF8">
        <w:t>o the unknower</w:t>
      </w:r>
      <w:r w:rsidR="00A9343F">
        <w:t>.</w:t>
      </w:r>
      <w:r w:rsidR="009C7EC7">
        <w:rPr>
          <w:rStyle w:val="FootnoteReference"/>
        </w:rPr>
        <w:footnoteReference w:id="29"/>
      </w:r>
      <w:r w:rsidR="009C7EC7">
        <w:t xml:space="preserve"> This one-way practice undermines </w:t>
      </w:r>
      <w:r w:rsidR="000A5D2F">
        <w:t>different ways of thinking—ways that may encourage</w:t>
      </w:r>
      <w:r w:rsidR="00A323F0">
        <w:t xml:space="preserve"> values like</w:t>
      </w:r>
      <w:r w:rsidR="000A5D2F">
        <w:t xml:space="preserve"> collaboration, </w:t>
      </w:r>
      <w:r w:rsidR="00EF1711">
        <w:t>experiential knowledge</w:t>
      </w:r>
      <w:r w:rsidR="0064640B">
        <w:t xml:space="preserve">, or somatic </w:t>
      </w:r>
      <w:r w:rsidR="006B5512">
        <w:t>comprehension</w:t>
      </w:r>
      <w:r w:rsidR="0064640B">
        <w:t>—</w:t>
      </w:r>
      <w:r w:rsidR="006C7A67">
        <w:t>and positions students as consumers in a neoliberal</w:t>
      </w:r>
      <w:r w:rsidR="00540992">
        <w:t xml:space="preserve"> purchasing relationship</w:t>
      </w:r>
      <w:r w:rsidR="00223744">
        <w:t xml:space="preserve">. </w:t>
      </w:r>
      <w:r w:rsidR="0014008B">
        <w:t xml:space="preserve">We </w:t>
      </w:r>
      <w:r w:rsidR="00EF4E1C">
        <w:t>have been</w:t>
      </w:r>
      <w:r w:rsidR="0014008B">
        <w:t xml:space="preserve"> operating in an </w:t>
      </w:r>
      <w:r w:rsidR="00674A78">
        <w:t>outmoded</w:t>
      </w:r>
      <w:r w:rsidR="0014008B">
        <w:t xml:space="preserve"> system</w:t>
      </w:r>
      <w:r w:rsidR="00674A78">
        <w:t xml:space="preserve"> </w:t>
      </w:r>
      <w:r w:rsidR="00EF4E1C">
        <w:t>since</w:t>
      </w:r>
      <w:r w:rsidR="00674A78">
        <w:t xml:space="preserve"> the turn of the second millennium, and </w:t>
      </w:r>
      <w:r w:rsidR="0014008B">
        <w:t xml:space="preserve">in </w:t>
      </w:r>
      <w:r w:rsidR="00D010E7">
        <w:t>fomenting</w:t>
      </w:r>
      <w:r w:rsidR="0014008B">
        <w:t xml:space="preserve"> academic freedom, we have failed to question both the form and the foundation of this freedom.</w:t>
      </w:r>
      <w:r w:rsidR="00483F64">
        <w:rPr>
          <w:rStyle w:val="FootnoteReference"/>
        </w:rPr>
        <w:footnoteReference w:id="30"/>
      </w:r>
      <w:r w:rsidR="00DF12CB">
        <w:t xml:space="preserve"> </w:t>
      </w:r>
      <w:r w:rsidR="00223744">
        <w:t xml:space="preserve">Knowledge becomes a parcel purchased as an end product rather than an </w:t>
      </w:r>
      <w:r w:rsidR="00E440AA">
        <w:t>iterative</w:t>
      </w:r>
      <w:r w:rsidR="00223744">
        <w:t xml:space="preserve">, ongoing </w:t>
      </w:r>
      <w:r w:rsidR="00E751DC">
        <w:t>practice</w:t>
      </w:r>
      <w:r w:rsidR="00BD574E">
        <w:t xml:space="preserve"> of giving and receiving.</w:t>
      </w:r>
      <w:r w:rsidR="0014008B">
        <w:t xml:space="preserve"> </w:t>
      </w:r>
    </w:p>
    <w:p w14:paraId="04ED8887" w14:textId="5A66F464" w:rsidR="00C36097" w:rsidRDefault="00086F99" w:rsidP="00F71310">
      <w:pPr>
        <w:spacing w:line="276" w:lineRule="auto"/>
        <w:jc w:val="both"/>
      </w:pPr>
      <w:r>
        <w:t>This picture, surely, cannot be the pinnacle of social harmony and multicultural value that we strive for—and</w:t>
      </w:r>
      <w:r w:rsidR="000A2B0C">
        <w:t xml:space="preserve"> in many cases,</w:t>
      </w:r>
      <w:r>
        <w:t xml:space="preserve"> pay</w:t>
      </w:r>
      <w:r w:rsidR="000A2B0C">
        <w:t xml:space="preserve"> substantial </w:t>
      </w:r>
      <w:r w:rsidR="004A4599">
        <w:t xml:space="preserve">and ever-increasing amounts </w:t>
      </w:r>
      <w:r w:rsidR="000A2B0C">
        <w:t>of money</w:t>
      </w:r>
      <w:r>
        <w:t xml:space="preserve"> for—</w:t>
      </w:r>
      <w:r w:rsidR="002B7B8C">
        <w:t xml:space="preserve">at </w:t>
      </w:r>
      <w:r w:rsidR="002B7B8C">
        <w:lastRenderedPageBreak/>
        <w:t>a university.</w:t>
      </w:r>
      <w:r w:rsidR="00BD6994">
        <w:rPr>
          <w:rStyle w:val="FootnoteReference"/>
        </w:rPr>
        <w:footnoteReference w:id="31"/>
      </w:r>
      <w:r w:rsidR="00654CAF">
        <w:t xml:space="preserve"> </w:t>
      </w:r>
      <w:r w:rsidR="0002635E">
        <w:t xml:space="preserve">When I </w:t>
      </w:r>
      <w:r w:rsidR="00F07FC1">
        <w:t>imagine</w:t>
      </w:r>
      <w:r w:rsidR="0002635E">
        <w:t xml:space="preserve"> this vision of harmony</w:t>
      </w:r>
      <w:r w:rsidR="00125EF1">
        <w:t xml:space="preserve"> and cultural equality, </w:t>
      </w:r>
      <w:r w:rsidR="00F07FC1">
        <w:t xml:space="preserve">I think of free expression, </w:t>
      </w:r>
      <w:r w:rsidR="00112069">
        <w:t xml:space="preserve">of accessible paths to learning and teaching, </w:t>
      </w:r>
      <w:r w:rsidR="005F781A">
        <w:t>of the freedom to be confident and secure whil</w:t>
      </w:r>
      <w:r w:rsidR="001E251A">
        <w:t xml:space="preserve">e undergoing the necessary discomfort of engaging with the novel: new cultures, new languages, new ways of thinking and knowing. </w:t>
      </w:r>
      <w:r w:rsidR="00654CAF">
        <w:t xml:space="preserve">And yet, the experience of many multicultural students is that academia is not compatible with </w:t>
      </w:r>
      <w:r w:rsidR="00CD31E9">
        <w:t xml:space="preserve">these </w:t>
      </w:r>
      <w:r w:rsidR="00654CAF">
        <w:t>freedom</w:t>
      </w:r>
      <w:r w:rsidR="00CD31E9">
        <w:t>s.</w:t>
      </w:r>
      <w:r w:rsidR="00654CAF">
        <w:t xml:space="preserve"> </w:t>
      </w:r>
      <w:r w:rsidR="00CD31E9">
        <w:t>T</w:t>
      </w:r>
      <w:r w:rsidR="00B117D0">
        <w:t>he modes of expression are</w:t>
      </w:r>
      <w:r w:rsidR="0069370E">
        <w:t xml:space="preserve"> inaccessible or incongruous with their ways of learning and producing knowledge. </w:t>
      </w:r>
    </w:p>
    <w:p w14:paraId="212D621D" w14:textId="77777777" w:rsidR="00654CAF" w:rsidRDefault="00654CAF" w:rsidP="00F71310">
      <w:pPr>
        <w:spacing w:line="276" w:lineRule="auto"/>
        <w:jc w:val="both"/>
      </w:pPr>
    </w:p>
    <w:p w14:paraId="4738970C" w14:textId="2ACA6FEE" w:rsidR="006F6308" w:rsidRPr="00CF50AB" w:rsidRDefault="00725CAC" w:rsidP="00CF50AB">
      <w:pPr>
        <w:spacing w:line="276" w:lineRule="auto"/>
        <w:jc w:val="center"/>
        <w:rPr>
          <w:i/>
          <w:iCs/>
        </w:rPr>
      </w:pPr>
      <w:r>
        <w:rPr>
          <w:i/>
          <w:iCs/>
        </w:rPr>
        <w:t>EPILOGUE</w:t>
      </w:r>
      <w:r w:rsidR="0099548E">
        <w:rPr>
          <w:i/>
          <w:iCs/>
        </w:rPr>
        <w:t xml:space="preserve">. </w:t>
      </w:r>
    </w:p>
    <w:p w14:paraId="67ED6DB8" w14:textId="4CD5EDA4" w:rsidR="0003218E" w:rsidRDefault="0003218E" w:rsidP="0003218E">
      <w:pPr>
        <w:spacing w:line="276" w:lineRule="auto"/>
        <w:jc w:val="both"/>
      </w:pPr>
      <w:r>
        <w:t>So</w:t>
      </w:r>
      <w:r w:rsidR="00E751DC">
        <w:t>,</w:t>
      </w:r>
      <w:r>
        <w:t xml:space="preserve"> where to from here? </w:t>
      </w:r>
    </w:p>
    <w:p w14:paraId="51625F83" w14:textId="25427204" w:rsidR="00122A99" w:rsidRPr="00746275" w:rsidRDefault="00F00162" w:rsidP="00F97A93">
      <w:pPr>
        <w:jc w:val="both"/>
      </w:pPr>
      <w:r>
        <w:t xml:space="preserve">I do not wish for the abolition of grammar, spelling, </w:t>
      </w:r>
      <w:r w:rsidR="00D91435">
        <w:t>jargon</w:t>
      </w:r>
      <w:r w:rsidR="00CF50AB">
        <w:t xml:space="preserve">, and “always </w:t>
      </w:r>
      <w:proofErr w:type="spellStart"/>
      <w:r w:rsidR="00CF50AB">
        <w:t>already</w:t>
      </w:r>
      <w:r w:rsidR="00E751DC">
        <w:t>s</w:t>
      </w:r>
      <w:proofErr w:type="spellEnd"/>
      <w:r w:rsidR="00CF50AB">
        <w:t xml:space="preserve">” (though we could </w:t>
      </w:r>
      <w:r w:rsidR="001E0783">
        <w:t>likely</w:t>
      </w:r>
      <w:r w:rsidR="00CF50AB">
        <w:t xml:space="preserve"> do with fewer</w:t>
      </w:r>
      <w:r w:rsidR="007A586F">
        <w:t xml:space="preserve"> of those</w:t>
      </w:r>
      <w:r w:rsidR="00CF50AB">
        <w:t>). T</w:t>
      </w:r>
      <w:r w:rsidR="00115AEC">
        <w:t>hese features may confine</w:t>
      </w:r>
      <w:r w:rsidR="00E3490B">
        <w:t xml:space="preserve"> our knowledge, but </w:t>
      </w:r>
      <w:r w:rsidR="00115AEC">
        <w:t>they</w:t>
      </w:r>
      <w:r w:rsidR="00E3490B">
        <w:t xml:space="preserve"> are not ubiquitous for no reason. </w:t>
      </w:r>
      <w:r w:rsidR="00CB15FF">
        <w:t xml:space="preserve">What I wish is that we </w:t>
      </w:r>
      <w:r w:rsidR="00CB15FF" w:rsidRPr="0050623B">
        <w:t>think</w:t>
      </w:r>
      <w:r w:rsidR="00CB15FF">
        <w:rPr>
          <w:i/>
          <w:iCs/>
        </w:rPr>
        <w:t xml:space="preserve"> </w:t>
      </w:r>
      <w:r w:rsidR="00CB15FF">
        <w:t xml:space="preserve">of these features </w:t>
      </w:r>
      <w:r w:rsidR="00CB15FF">
        <w:rPr>
          <w:i/>
          <w:iCs/>
        </w:rPr>
        <w:t xml:space="preserve">as </w:t>
      </w:r>
      <w:r w:rsidR="00CB15FF">
        <w:t>representations of knowledge, not as knowledge</w:t>
      </w:r>
      <w:r w:rsidR="0050623B">
        <w:t>s themselves</w:t>
      </w:r>
      <w:r w:rsidR="00CB15FF">
        <w:t xml:space="preserve">. </w:t>
      </w:r>
      <w:r w:rsidR="000841D8">
        <w:t xml:space="preserve">Or, more specifically, I wish that we think of these features as </w:t>
      </w:r>
      <w:r w:rsidR="000841D8">
        <w:rPr>
          <w:i/>
          <w:iCs/>
        </w:rPr>
        <w:t xml:space="preserve">one </w:t>
      </w:r>
      <w:r w:rsidR="000841D8">
        <w:t>way of</w:t>
      </w:r>
      <w:r w:rsidR="000841D8">
        <w:rPr>
          <w:i/>
          <w:iCs/>
        </w:rPr>
        <w:t xml:space="preserve"> </w:t>
      </w:r>
      <w:r w:rsidR="00CA3126">
        <w:t>representing</w:t>
      </w:r>
      <w:r w:rsidR="000841D8">
        <w:t xml:space="preserve"> knowledge</w:t>
      </w:r>
      <w:r w:rsidR="00CB4D2F">
        <w:t>, divorced from and responsible for the quelling of culturally diverse epistemologies.</w:t>
      </w:r>
      <w:r w:rsidR="003E1B92">
        <w:t xml:space="preserve"> </w:t>
      </w:r>
      <w:r w:rsidR="00CB15FF">
        <w:t xml:space="preserve">To promote academic freedom while still </w:t>
      </w:r>
      <w:r w:rsidR="00BC4BE0">
        <w:t>believing that academia and knowledge only take one</w:t>
      </w:r>
      <w:r w:rsidR="00B33A0F">
        <w:t xml:space="preserve"> “natural”</w:t>
      </w:r>
      <w:r w:rsidR="00BC4BE0">
        <w:t xml:space="preserve"> shape is </w:t>
      </w:r>
      <w:r w:rsidR="00C74935">
        <w:t xml:space="preserve">irresponsible </w:t>
      </w:r>
      <w:r w:rsidR="00F920AA">
        <w:t xml:space="preserve">and, as I have hopefully demonstrated, antithetical to the </w:t>
      </w:r>
      <w:r w:rsidR="00B43EC2">
        <w:t>premise of multiculturalism</w:t>
      </w:r>
      <w:r w:rsidR="008B5547">
        <w:t xml:space="preserve"> and harmony between cultures</w:t>
      </w:r>
      <w:r w:rsidR="00B43EC2">
        <w:t xml:space="preserve">. </w:t>
      </w:r>
      <w:r w:rsidR="00410B3F">
        <w:t>This approach makes knowledge an unattainable or even unsafe venture</w:t>
      </w:r>
      <w:r w:rsidR="0042078D">
        <w:t xml:space="preserve">. </w:t>
      </w:r>
      <w:r w:rsidR="0002249D">
        <w:t xml:space="preserve">Instead, we must ask </w:t>
      </w:r>
      <w:r w:rsidR="0002249D">
        <w:rPr>
          <w:i/>
          <w:iCs/>
        </w:rPr>
        <w:t xml:space="preserve">how </w:t>
      </w:r>
      <w:r w:rsidR="0002249D">
        <w:t xml:space="preserve">we know what we know, how we know how to identify freedom, and, above all, know what we do </w:t>
      </w:r>
      <w:r w:rsidR="0002249D">
        <w:rPr>
          <w:i/>
          <w:iCs/>
        </w:rPr>
        <w:t xml:space="preserve">not </w:t>
      </w:r>
      <w:r w:rsidR="0002249D">
        <w:t xml:space="preserve">know. </w:t>
      </w:r>
      <w:r w:rsidR="00D23B64">
        <w:t xml:space="preserve">I hope we </w:t>
      </w:r>
      <w:r w:rsidR="001A3FC3">
        <w:t>can</w:t>
      </w:r>
      <w:r w:rsidR="00D23B64">
        <w:t xml:space="preserve"> ask: </w:t>
      </w:r>
      <w:r w:rsidR="00122A99">
        <w:rPr>
          <w:i/>
          <w:iCs/>
        </w:rPr>
        <w:t xml:space="preserve">Why does this language sound clever to you? How </w:t>
      </w:r>
      <w:r w:rsidR="003E1021">
        <w:rPr>
          <w:i/>
          <w:iCs/>
        </w:rPr>
        <w:t xml:space="preserve">can </w:t>
      </w:r>
      <w:r w:rsidR="006A3247">
        <w:rPr>
          <w:i/>
          <w:iCs/>
        </w:rPr>
        <w:t>this</w:t>
      </w:r>
      <w:r w:rsidR="003E1021">
        <w:rPr>
          <w:i/>
          <w:iCs/>
        </w:rPr>
        <w:t xml:space="preserve"> language make others feel freer? </w:t>
      </w:r>
    </w:p>
    <w:p w14:paraId="68A297AF" w14:textId="77777777" w:rsidR="00C74935" w:rsidRDefault="00C74935">
      <w:pPr>
        <w:rPr>
          <w:i/>
          <w:iCs/>
        </w:rPr>
      </w:pPr>
      <w:r>
        <w:rPr>
          <w:i/>
          <w:iCs/>
        </w:rPr>
        <w:br w:type="page"/>
      </w:r>
    </w:p>
    <w:p w14:paraId="1E8FB2CA" w14:textId="339B51EC" w:rsidR="00205740" w:rsidRDefault="00205740" w:rsidP="00205740">
      <w:pPr>
        <w:jc w:val="center"/>
        <w:rPr>
          <w:i/>
          <w:iCs/>
        </w:rPr>
      </w:pPr>
      <w:r>
        <w:rPr>
          <w:i/>
          <w:iCs/>
        </w:rPr>
        <w:lastRenderedPageBreak/>
        <w:t>END NOTES.</w:t>
      </w:r>
    </w:p>
    <w:p w14:paraId="3FAD2222" w14:textId="6371DA3D" w:rsidR="00205740" w:rsidRPr="002A7ED2" w:rsidRDefault="00205740" w:rsidP="00205740">
      <w:pPr>
        <w:rPr>
          <w:color w:val="000000" w:themeColor="text1"/>
        </w:rPr>
      </w:pPr>
      <w:r w:rsidRPr="002A7ED2">
        <w:rPr>
          <w:color w:val="000000" w:themeColor="text1"/>
        </w:rPr>
        <w:t>Word count</w:t>
      </w:r>
      <w:r w:rsidR="00FE20BC">
        <w:rPr>
          <w:color w:val="000000" w:themeColor="text1"/>
        </w:rPr>
        <w:t xml:space="preserve">, </w:t>
      </w:r>
      <w:r w:rsidRPr="002A7ED2">
        <w:rPr>
          <w:color w:val="000000" w:themeColor="text1"/>
        </w:rPr>
        <w:t xml:space="preserve">including </w:t>
      </w:r>
      <w:r w:rsidR="002E371A">
        <w:rPr>
          <w:color w:val="000000" w:themeColor="text1"/>
        </w:rPr>
        <w:t>footnotes</w:t>
      </w:r>
      <w:r w:rsidR="00FE20BC">
        <w:rPr>
          <w:color w:val="000000" w:themeColor="text1"/>
        </w:rPr>
        <w:t>,</w:t>
      </w:r>
      <w:r w:rsidRPr="002A7ED2">
        <w:rPr>
          <w:color w:val="000000" w:themeColor="text1"/>
        </w:rPr>
        <w:t xml:space="preserve"> is </w:t>
      </w:r>
      <w:r w:rsidR="002E371A">
        <w:rPr>
          <w:color w:val="000000" w:themeColor="text1"/>
        </w:rPr>
        <w:t>32</w:t>
      </w:r>
      <w:r w:rsidR="00E627DE">
        <w:rPr>
          <w:color w:val="000000" w:themeColor="text1"/>
        </w:rPr>
        <w:t>0</w:t>
      </w:r>
      <w:r w:rsidR="002E371A">
        <w:rPr>
          <w:color w:val="000000" w:themeColor="text1"/>
        </w:rPr>
        <w:t>1</w:t>
      </w:r>
      <w:r w:rsidRPr="002A7ED2">
        <w:rPr>
          <w:color w:val="000000" w:themeColor="text1"/>
        </w:rPr>
        <w:t>.</w:t>
      </w:r>
    </w:p>
    <w:p w14:paraId="4B29D2FB" w14:textId="77777777" w:rsidR="00205740" w:rsidRDefault="00205740" w:rsidP="00E55D92">
      <w:pPr>
        <w:jc w:val="center"/>
        <w:rPr>
          <w:i/>
          <w:iCs/>
        </w:rPr>
      </w:pPr>
    </w:p>
    <w:p w14:paraId="4801F1FE" w14:textId="700356E7" w:rsidR="00E55D92" w:rsidRPr="00E55D92" w:rsidRDefault="00E55D92" w:rsidP="00E55D92">
      <w:pPr>
        <w:jc w:val="center"/>
        <w:rPr>
          <w:i/>
          <w:iCs/>
        </w:rPr>
      </w:pPr>
      <w:r w:rsidRPr="00E55D92">
        <w:rPr>
          <w:i/>
          <w:iCs/>
        </w:rPr>
        <w:t>REFERENCES</w:t>
      </w:r>
      <w:r w:rsidR="005222D0">
        <w:rPr>
          <w:i/>
          <w:iCs/>
        </w:rPr>
        <w:t>.</w:t>
      </w:r>
    </w:p>
    <w:p w14:paraId="03066BAE" w14:textId="77777777" w:rsidR="003D35B9" w:rsidRPr="003D35B9" w:rsidRDefault="006F4688" w:rsidP="003D35B9">
      <w:pPr>
        <w:pStyle w:val="Bibliography"/>
        <w:rPr>
          <w:lang w:val="en-GB"/>
        </w:rPr>
      </w:pPr>
      <w:r>
        <w:fldChar w:fldCharType="begin"/>
      </w:r>
      <w:r w:rsidR="003D35B9">
        <w:instrText xml:space="preserve"> ADDIN ZOTERO_BIBL {"uncited":[],"omitted":[],"custom":[]} CSL_BIBLIOGRAPHY </w:instrText>
      </w:r>
      <w:r>
        <w:fldChar w:fldCharType="separate"/>
      </w:r>
      <w:r w:rsidR="003D35B9" w:rsidRPr="003D35B9">
        <w:rPr>
          <w:lang w:val="en-GB"/>
        </w:rPr>
        <w:t xml:space="preserve">Altman, Zariah. “Speech on Trial? An Exploration into the Effects of Lingual Discrimination on African American Vernacular English.” </w:t>
      </w:r>
      <w:r w:rsidR="003D35B9" w:rsidRPr="003D35B9">
        <w:rPr>
          <w:i/>
          <w:iCs/>
          <w:lang w:val="en-GB"/>
        </w:rPr>
        <w:t>Howard Law Journal</w:t>
      </w:r>
      <w:r w:rsidR="003D35B9" w:rsidRPr="003D35B9">
        <w:rPr>
          <w:lang w:val="en-GB"/>
        </w:rPr>
        <w:t xml:space="preserve"> 63, no. 3 (2022): 503–32.</w:t>
      </w:r>
    </w:p>
    <w:p w14:paraId="285DA77D" w14:textId="77777777" w:rsidR="003D35B9" w:rsidRPr="003D35B9" w:rsidRDefault="003D35B9" w:rsidP="003D35B9">
      <w:pPr>
        <w:pStyle w:val="Bibliography"/>
        <w:rPr>
          <w:lang w:val="en-GB"/>
        </w:rPr>
      </w:pPr>
      <w:r w:rsidRPr="003D35B9">
        <w:rPr>
          <w:lang w:val="en-GB"/>
        </w:rPr>
        <w:t xml:space="preserve">Araújo, Marta, and Silvia Rodríguez Maeso, eds. </w:t>
      </w:r>
      <w:r w:rsidRPr="003D35B9">
        <w:rPr>
          <w:i/>
          <w:iCs/>
          <w:lang w:val="en-GB"/>
        </w:rPr>
        <w:t>Eurocentrism, Racism and Knowledge</w:t>
      </w:r>
      <w:r w:rsidRPr="003D35B9">
        <w:rPr>
          <w:lang w:val="en-GB"/>
        </w:rPr>
        <w:t>. London, England: Palgrave Macmillan UK, 2015.</w:t>
      </w:r>
    </w:p>
    <w:p w14:paraId="2BEF1F82" w14:textId="77777777" w:rsidR="003D35B9" w:rsidRPr="003D35B9" w:rsidRDefault="003D35B9" w:rsidP="003D35B9">
      <w:pPr>
        <w:pStyle w:val="Bibliography"/>
        <w:rPr>
          <w:lang w:val="en-GB"/>
        </w:rPr>
      </w:pPr>
      <w:r w:rsidRPr="003D35B9">
        <w:rPr>
          <w:lang w:val="en-GB"/>
        </w:rPr>
        <w:t xml:space="preserve">Clarke, Samantha, Rebecca Denham, and Adam Bridgeman. “A Snapshot of Student Diversity at Sydney.” </w:t>
      </w:r>
      <w:r w:rsidRPr="003D35B9">
        <w:rPr>
          <w:i/>
          <w:iCs/>
          <w:lang w:val="en-GB"/>
        </w:rPr>
        <w:t>Teaching@Sydney</w:t>
      </w:r>
      <w:r w:rsidRPr="003D35B9">
        <w:rPr>
          <w:lang w:val="en-GB"/>
        </w:rPr>
        <w:t>, February 14, 2022. https://educational-innovation.sydney.edu.au/teaching@sydney/a-snapshot-of-student-diversity-at-sydney/.</w:t>
      </w:r>
    </w:p>
    <w:p w14:paraId="0F989872" w14:textId="77777777" w:rsidR="003D35B9" w:rsidRPr="003D35B9" w:rsidRDefault="003D35B9" w:rsidP="003D35B9">
      <w:pPr>
        <w:pStyle w:val="Bibliography"/>
        <w:rPr>
          <w:lang w:val="en-GB"/>
        </w:rPr>
      </w:pPr>
      <w:r w:rsidRPr="003D35B9">
        <w:rPr>
          <w:lang w:val="en-GB"/>
        </w:rPr>
        <w:t xml:space="preserve">Crystal, David. “Two Thousand Million?” </w:t>
      </w:r>
      <w:r w:rsidRPr="003D35B9">
        <w:rPr>
          <w:i/>
          <w:iCs/>
          <w:lang w:val="en-GB"/>
        </w:rPr>
        <w:t>English Today</w:t>
      </w:r>
      <w:r w:rsidRPr="003D35B9">
        <w:rPr>
          <w:lang w:val="en-GB"/>
        </w:rPr>
        <w:t xml:space="preserve"> 24, no. 1 (2008): 3–6.</w:t>
      </w:r>
    </w:p>
    <w:p w14:paraId="6C1CF533" w14:textId="77777777" w:rsidR="003D35B9" w:rsidRPr="003D35B9" w:rsidRDefault="003D35B9" w:rsidP="003D35B9">
      <w:pPr>
        <w:pStyle w:val="Bibliography"/>
        <w:rPr>
          <w:lang w:val="en-GB"/>
        </w:rPr>
      </w:pPr>
      <w:r w:rsidRPr="003D35B9">
        <w:rPr>
          <w:lang w:val="en-GB"/>
        </w:rPr>
        <w:t xml:space="preserve">Dale, Karen. “Building a Social Materiality: Spatial and Embodied Politics in Organizational Control.” </w:t>
      </w:r>
      <w:r w:rsidRPr="003D35B9">
        <w:rPr>
          <w:i/>
          <w:iCs/>
          <w:lang w:val="en-GB"/>
        </w:rPr>
        <w:t>The Interdisciplinary Journal of Organization, Theory and Society</w:t>
      </w:r>
      <w:r w:rsidRPr="003D35B9">
        <w:rPr>
          <w:lang w:val="en-GB"/>
        </w:rPr>
        <w:t xml:space="preserve"> 12, no. 5 (2005): 649–78.</w:t>
      </w:r>
    </w:p>
    <w:p w14:paraId="2DF790AD" w14:textId="77777777" w:rsidR="003D35B9" w:rsidRPr="003D35B9" w:rsidRDefault="003D35B9" w:rsidP="003D35B9">
      <w:pPr>
        <w:pStyle w:val="Bibliography"/>
        <w:rPr>
          <w:lang w:val="en-GB"/>
        </w:rPr>
      </w:pPr>
      <w:r w:rsidRPr="003D35B9">
        <w:rPr>
          <w:lang w:val="en-GB"/>
        </w:rPr>
        <w:t xml:space="preserve">Dominik, William J. “The Development of Roman Rhetoric.” In </w:t>
      </w:r>
      <w:r w:rsidRPr="003D35B9">
        <w:rPr>
          <w:i/>
          <w:iCs/>
          <w:lang w:val="en-GB"/>
        </w:rPr>
        <w:t>The Oxford Handbook of Rhetorical Studies</w:t>
      </w:r>
      <w:r w:rsidRPr="003D35B9">
        <w:rPr>
          <w:lang w:val="en-GB"/>
        </w:rPr>
        <w:t>, Online Edition, edited by Michael J. MacDonald. Oxford Handbooks. 2014. Online Edition, 2017.</w:t>
      </w:r>
    </w:p>
    <w:p w14:paraId="0D760CF3" w14:textId="77777777" w:rsidR="003D35B9" w:rsidRPr="003D35B9" w:rsidRDefault="003D35B9" w:rsidP="003D35B9">
      <w:pPr>
        <w:pStyle w:val="Bibliography"/>
        <w:rPr>
          <w:lang w:val="en-GB"/>
        </w:rPr>
      </w:pPr>
      <w:r w:rsidRPr="003D35B9">
        <w:rPr>
          <w:lang w:val="en-GB"/>
        </w:rPr>
        <w:t xml:space="preserve">Lake, Stephen, Renaud Joannes-Boyau, Adam Lucas, Adrian McCallum, Justin O’Connor, Alessandro Pelizzon, Peter Tregear, and Oliver Vodeb. “A Brief History of Australian Universities.” </w:t>
      </w:r>
      <w:r w:rsidRPr="003D35B9">
        <w:rPr>
          <w:i/>
          <w:iCs/>
          <w:lang w:val="en-GB"/>
        </w:rPr>
        <w:t>Social Alternatives</w:t>
      </w:r>
      <w:r w:rsidRPr="003D35B9">
        <w:rPr>
          <w:lang w:val="en-GB"/>
        </w:rPr>
        <w:t xml:space="preserve"> 41, no. 1 (2022): 8–16.</w:t>
      </w:r>
    </w:p>
    <w:p w14:paraId="04DB806D" w14:textId="77777777" w:rsidR="003D35B9" w:rsidRPr="003D35B9" w:rsidRDefault="003D35B9" w:rsidP="003D35B9">
      <w:pPr>
        <w:pStyle w:val="Bibliography"/>
        <w:rPr>
          <w:lang w:val="en-GB"/>
        </w:rPr>
      </w:pPr>
      <w:r w:rsidRPr="003D35B9">
        <w:rPr>
          <w:lang w:val="en-GB"/>
        </w:rPr>
        <w:t xml:space="preserve">MacDonald, Michael J. </w:t>
      </w:r>
      <w:r w:rsidRPr="003D35B9">
        <w:rPr>
          <w:i/>
          <w:iCs/>
          <w:lang w:val="en-GB"/>
        </w:rPr>
        <w:t>The Oxford Handbook of Rhetorical Studies</w:t>
      </w:r>
      <w:r w:rsidRPr="003D35B9">
        <w:rPr>
          <w:lang w:val="en-GB"/>
        </w:rPr>
        <w:t>. Oxford Handbooks. 2014. Online Edition, 2017.</w:t>
      </w:r>
    </w:p>
    <w:p w14:paraId="73DA8746" w14:textId="77777777" w:rsidR="003D35B9" w:rsidRPr="003D35B9" w:rsidRDefault="003D35B9" w:rsidP="003D35B9">
      <w:pPr>
        <w:pStyle w:val="Bibliography"/>
        <w:rPr>
          <w:lang w:val="en-GB"/>
        </w:rPr>
      </w:pPr>
      <w:r w:rsidRPr="003D35B9">
        <w:rPr>
          <w:lang w:val="en-GB"/>
        </w:rPr>
        <w:t xml:space="preserve">McNiven, Ian. “Torres Strait Islanders: The 9000-Year History of a Maritime People.” In </w:t>
      </w:r>
      <w:r w:rsidRPr="003D35B9">
        <w:rPr>
          <w:i/>
          <w:iCs/>
          <w:lang w:val="en-GB"/>
        </w:rPr>
        <w:t>Awakening: Stories from the Torres Strait</w:t>
      </w:r>
      <w:r w:rsidRPr="003D35B9">
        <w:rPr>
          <w:lang w:val="en-GB"/>
        </w:rPr>
        <w:t>, 210–19. Queensland, Australia: Queensland Museum, 2011.</w:t>
      </w:r>
    </w:p>
    <w:p w14:paraId="218472AE" w14:textId="77777777" w:rsidR="003D35B9" w:rsidRPr="003D35B9" w:rsidRDefault="003D35B9" w:rsidP="003D35B9">
      <w:pPr>
        <w:pStyle w:val="Bibliography"/>
        <w:rPr>
          <w:lang w:val="en-GB"/>
        </w:rPr>
      </w:pPr>
      <w:r w:rsidRPr="003D35B9">
        <w:rPr>
          <w:lang w:val="en-GB"/>
        </w:rPr>
        <w:t xml:space="preserve">Metcalf, Debra Ann, and Karl Kilian Konrad Wiener. “Academic Self-Efficacy in a Twenty-First-Century Australian University: Strategies for First-Generation Students.” </w:t>
      </w:r>
      <w:r w:rsidRPr="003D35B9">
        <w:rPr>
          <w:i/>
          <w:iCs/>
          <w:lang w:val="en-GB"/>
        </w:rPr>
        <w:t>Higher Education Research &amp; Development</w:t>
      </w:r>
      <w:r w:rsidRPr="003D35B9">
        <w:rPr>
          <w:lang w:val="en-GB"/>
        </w:rPr>
        <w:t xml:space="preserve"> 37, no. 7 (2018): 1472–88. https://doi.org/10.1080/07294360.2018.1484705.</w:t>
      </w:r>
    </w:p>
    <w:p w14:paraId="7130466A" w14:textId="77777777" w:rsidR="003D35B9" w:rsidRPr="003D35B9" w:rsidRDefault="003D35B9" w:rsidP="003D35B9">
      <w:pPr>
        <w:pStyle w:val="Bibliography"/>
        <w:rPr>
          <w:lang w:val="en-GB"/>
        </w:rPr>
      </w:pPr>
      <w:r w:rsidRPr="003D35B9">
        <w:rPr>
          <w:lang w:val="en-GB"/>
        </w:rPr>
        <w:t xml:space="preserve">Moreton-Robinson, Aileen. “Whiteness, Epistemology and Indigenous Representation.” In </w:t>
      </w:r>
      <w:r w:rsidRPr="003D35B9">
        <w:rPr>
          <w:i/>
          <w:iCs/>
          <w:lang w:val="en-GB"/>
        </w:rPr>
        <w:t>Whitening Race: Essays in Social and Cultural Criticism</w:t>
      </w:r>
      <w:r w:rsidRPr="003D35B9">
        <w:rPr>
          <w:lang w:val="en-GB"/>
        </w:rPr>
        <w:t>, 75–88. Canberra, Australia: Aboriginal Studies Press, 2004.</w:t>
      </w:r>
    </w:p>
    <w:p w14:paraId="640A3C1A" w14:textId="77777777" w:rsidR="003D35B9" w:rsidRPr="003D35B9" w:rsidRDefault="003D35B9" w:rsidP="003D35B9">
      <w:pPr>
        <w:pStyle w:val="Bibliography"/>
        <w:rPr>
          <w:lang w:val="en-GB"/>
        </w:rPr>
      </w:pPr>
      <w:r w:rsidRPr="003D35B9">
        <w:rPr>
          <w:lang w:val="en-GB"/>
        </w:rPr>
        <w:t xml:space="preserve">Nunn, Patrick, and Nick Reid. “Evidence That the Oral Stories of First Nations Australians May Be Thousands of Years Old.” </w:t>
      </w:r>
      <w:r w:rsidRPr="003D35B9">
        <w:rPr>
          <w:i/>
          <w:iCs/>
          <w:lang w:val="en-GB"/>
        </w:rPr>
        <w:t>Agora</w:t>
      </w:r>
      <w:r w:rsidRPr="003D35B9">
        <w:rPr>
          <w:lang w:val="en-GB"/>
        </w:rPr>
        <w:t xml:space="preserve"> 58, no. 2 (2023): 9–13.</w:t>
      </w:r>
    </w:p>
    <w:p w14:paraId="77B0AB5A" w14:textId="77777777" w:rsidR="003D35B9" w:rsidRPr="003D35B9" w:rsidRDefault="003D35B9" w:rsidP="003D35B9">
      <w:pPr>
        <w:pStyle w:val="Bibliography"/>
        <w:rPr>
          <w:lang w:val="en-GB"/>
        </w:rPr>
      </w:pPr>
      <w:r w:rsidRPr="003D35B9">
        <w:rPr>
          <w:lang w:val="en-GB"/>
        </w:rPr>
        <w:lastRenderedPageBreak/>
        <w:t xml:space="preserve">Orwell, George. </w:t>
      </w:r>
      <w:r w:rsidRPr="003D35B9">
        <w:rPr>
          <w:i/>
          <w:iCs/>
          <w:lang w:val="en-GB"/>
        </w:rPr>
        <w:t>Animal Farm</w:t>
      </w:r>
      <w:r w:rsidRPr="003D35B9">
        <w:rPr>
          <w:lang w:val="en-GB"/>
        </w:rPr>
        <w:t>. 1945. Collins Classics. London, England: William Collins, 2021.</w:t>
      </w:r>
    </w:p>
    <w:p w14:paraId="4FAA89D7" w14:textId="77777777" w:rsidR="003D35B9" w:rsidRPr="003D35B9" w:rsidRDefault="003D35B9" w:rsidP="003D35B9">
      <w:pPr>
        <w:pStyle w:val="Bibliography"/>
        <w:rPr>
          <w:lang w:val="en-GB"/>
        </w:rPr>
      </w:pPr>
      <w:r w:rsidRPr="003D35B9">
        <w:rPr>
          <w:lang w:val="en-GB"/>
        </w:rPr>
        <w:t xml:space="preserve">Östling, Johan, and David Larsson Heidenblad. </w:t>
      </w:r>
      <w:r w:rsidRPr="003D35B9">
        <w:rPr>
          <w:i/>
          <w:iCs/>
          <w:lang w:val="en-GB"/>
        </w:rPr>
        <w:t>The History of Knowledge</w:t>
      </w:r>
      <w:r w:rsidRPr="003D35B9">
        <w:rPr>
          <w:lang w:val="en-GB"/>
        </w:rPr>
        <w:t>. Translated by Lena Olsson. Elements in Historical Theory and Practice, edited by Daniel Woolf. Cambridge, United Kingdom: Cambridge University Press, 2023.</w:t>
      </w:r>
    </w:p>
    <w:p w14:paraId="5C76D765" w14:textId="77777777" w:rsidR="003D35B9" w:rsidRPr="003D35B9" w:rsidRDefault="003D35B9" w:rsidP="003D35B9">
      <w:pPr>
        <w:pStyle w:val="Bibliography"/>
        <w:rPr>
          <w:lang w:val="en-GB"/>
        </w:rPr>
      </w:pPr>
      <w:r w:rsidRPr="003D35B9">
        <w:rPr>
          <w:lang w:val="en-GB"/>
        </w:rPr>
        <w:t xml:space="preserve">Oxford English Dictionary. </w:t>
      </w:r>
      <w:r w:rsidRPr="003D35B9">
        <w:rPr>
          <w:i/>
          <w:iCs/>
          <w:lang w:val="en-GB"/>
        </w:rPr>
        <w:t>Freedom (</w:t>
      </w:r>
      <w:r w:rsidRPr="003D35B9">
        <w:rPr>
          <w:lang w:val="en-GB"/>
        </w:rPr>
        <w:t>n.</w:t>
      </w:r>
      <w:r w:rsidRPr="003D35B9">
        <w:rPr>
          <w:i/>
          <w:iCs/>
          <w:lang w:val="en-GB"/>
        </w:rPr>
        <w:t>), Etymology</w:t>
      </w:r>
      <w:r w:rsidRPr="003D35B9">
        <w:rPr>
          <w:lang w:val="en-GB"/>
        </w:rPr>
        <w:t>. 2025. https://doi.org/10.1093/OED/1165035277.</w:t>
      </w:r>
    </w:p>
    <w:p w14:paraId="563212CF" w14:textId="77777777" w:rsidR="003D35B9" w:rsidRPr="003D35B9" w:rsidRDefault="003D35B9" w:rsidP="003D35B9">
      <w:pPr>
        <w:pStyle w:val="Bibliography"/>
        <w:rPr>
          <w:lang w:val="en-GB"/>
        </w:rPr>
      </w:pPr>
      <w:r w:rsidRPr="003D35B9">
        <w:rPr>
          <w:lang w:val="en-GB"/>
        </w:rPr>
        <w:t xml:space="preserve">Redfield, James. “Kant’s Racist Anthropology in Context: Ethnographic Archives of the German Enlightenment.” </w:t>
      </w:r>
      <w:r w:rsidRPr="003D35B9">
        <w:rPr>
          <w:i/>
          <w:iCs/>
          <w:lang w:val="en-GB"/>
        </w:rPr>
        <w:t>Cromohs</w:t>
      </w:r>
      <w:r w:rsidRPr="003D35B9">
        <w:rPr>
          <w:lang w:val="en-GB"/>
        </w:rPr>
        <w:t xml:space="preserve"> 27 (2025): 96–127. https://doi.org/10.36253/cromohs-15099.</w:t>
      </w:r>
    </w:p>
    <w:p w14:paraId="5A087639" w14:textId="77777777" w:rsidR="003D35B9" w:rsidRPr="003D35B9" w:rsidRDefault="003D35B9" w:rsidP="003D35B9">
      <w:pPr>
        <w:pStyle w:val="Bibliography"/>
        <w:rPr>
          <w:lang w:val="en-GB"/>
        </w:rPr>
      </w:pPr>
      <w:r w:rsidRPr="003D35B9">
        <w:rPr>
          <w:lang w:val="en-GB"/>
        </w:rPr>
        <w:t xml:space="preserve">Schiappa, Edward. “The Development of Greek Rhetoric.” In </w:t>
      </w:r>
      <w:r w:rsidRPr="003D35B9">
        <w:rPr>
          <w:i/>
          <w:iCs/>
          <w:lang w:val="en-GB"/>
        </w:rPr>
        <w:t>The Oxford Handbook of Rhetorical Studies</w:t>
      </w:r>
      <w:r w:rsidRPr="003D35B9">
        <w:rPr>
          <w:lang w:val="en-GB"/>
        </w:rPr>
        <w:t>, Online Edition, edited by Michael J. MacDonald, 33–42. Oxford Handbooks. 2014. Online Edition, 2017.</w:t>
      </w:r>
    </w:p>
    <w:p w14:paraId="11AC5F8C" w14:textId="77777777" w:rsidR="003D35B9" w:rsidRPr="003D35B9" w:rsidRDefault="003D35B9" w:rsidP="003D35B9">
      <w:pPr>
        <w:pStyle w:val="Bibliography"/>
        <w:rPr>
          <w:lang w:val="en-GB"/>
        </w:rPr>
      </w:pPr>
      <w:r w:rsidRPr="003D35B9">
        <w:rPr>
          <w:lang w:val="en-GB"/>
        </w:rPr>
        <w:t xml:space="preserve">Schwartz, Barry. </w:t>
      </w:r>
      <w:r w:rsidRPr="003D35B9">
        <w:rPr>
          <w:i/>
          <w:iCs/>
          <w:lang w:val="en-GB"/>
        </w:rPr>
        <w:t>The Paradox of Choice: Why More Is Less</w:t>
      </w:r>
      <w:r w:rsidRPr="003D35B9">
        <w:rPr>
          <w:lang w:val="en-GB"/>
        </w:rPr>
        <w:t>. New York, NY: Harper Collins, 2005.</w:t>
      </w:r>
    </w:p>
    <w:p w14:paraId="1CDA347C" w14:textId="77777777" w:rsidR="003D35B9" w:rsidRPr="003D35B9" w:rsidRDefault="003D35B9" w:rsidP="003D35B9">
      <w:pPr>
        <w:pStyle w:val="Bibliography"/>
        <w:rPr>
          <w:lang w:val="en-GB"/>
        </w:rPr>
      </w:pPr>
      <w:r w:rsidRPr="003D35B9">
        <w:rPr>
          <w:lang w:val="en-GB"/>
        </w:rPr>
        <w:t xml:space="preserve">Steele, Carly, Ana Tankosić, and Sender Dovchin. “English Medium Instruction or Exploitative Models of Income? International Students’ Experiences of EMI </w:t>
      </w:r>
      <w:r w:rsidRPr="003D35B9">
        <w:rPr>
          <w:i/>
          <w:iCs/>
          <w:lang w:val="en-GB"/>
        </w:rPr>
        <w:t>By Default</w:t>
      </w:r>
      <w:r w:rsidRPr="003D35B9">
        <w:rPr>
          <w:lang w:val="en-GB"/>
        </w:rPr>
        <w:t xml:space="preserve"> at an Australian University.” </w:t>
      </w:r>
      <w:r w:rsidRPr="003D35B9">
        <w:rPr>
          <w:i/>
          <w:iCs/>
          <w:lang w:val="en-GB"/>
        </w:rPr>
        <w:t>Journal of English as a Lingua Franca</w:t>
      </w:r>
      <w:r w:rsidRPr="003D35B9">
        <w:rPr>
          <w:lang w:val="en-GB"/>
        </w:rPr>
        <w:t xml:space="preserve"> 13, no. 1 (2024): 73–94. https://doi.org/10.1515/jelf-2024-2011.</w:t>
      </w:r>
    </w:p>
    <w:p w14:paraId="7A1C3C7B" w14:textId="77777777" w:rsidR="003D35B9" w:rsidRPr="003D35B9" w:rsidRDefault="003D35B9" w:rsidP="003D35B9">
      <w:pPr>
        <w:pStyle w:val="Bibliography"/>
        <w:rPr>
          <w:lang w:val="en-GB"/>
        </w:rPr>
      </w:pPr>
      <w:r w:rsidRPr="003D35B9">
        <w:rPr>
          <w:lang w:val="en-GB"/>
        </w:rPr>
        <w:t xml:space="preserve">Stovall, Tyler. </w:t>
      </w:r>
      <w:r w:rsidRPr="003D35B9">
        <w:rPr>
          <w:i/>
          <w:iCs/>
          <w:lang w:val="en-GB"/>
        </w:rPr>
        <w:t>White Freedom: The Racial History of an Idea</w:t>
      </w:r>
      <w:r w:rsidRPr="003D35B9">
        <w:rPr>
          <w:lang w:val="en-GB"/>
        </w:rPr>
        <w:t>. Princeton, NJ: Princeton University Press, 2021.</w:t>
      </w:r>
    </w:p>
    <w:p w14:paraId="284926CF" w14:textId="77777777" w:rsidR="003D35B9" w:rsidRPr="003D35B9" w:rsidRDefault="003D35B9" w:rsidP="003D35B9">
      <w:pPr>
        <w:pStyle w:val="Bibliography"/>
        <w:rPr>
          <w:lang w:val="en-GB"/>
        </w:rPr>
      </w:pPr>
      <w:r w:rsidRPr="003D35B9">
        <w:rPr>
          <w:lang w:val="en-GB"/>
        </w:rPr>
        <w:t xml:space="preserve">Tefera, A. A., J. M. Powers, and G. E. Fischman. “Intersectionality in Education: A Conceptual Aspiration and Research Imperative.” </w:t>
      </w:r>
      <w:r w:rsidRPr="003D35B9">
        <w:rPr>
          <w:i/>
          <w:iCs/>
          <w:lang w:val="en-GB"/>
        </w:rPr>
        <w:t>Review of Research in Education</w:t>
      </w:r>
      <w:r w:rsidRPr="003D35B9">
        <w:rPr>
          <w:lang w:val="en-GB"/>
        </w:rPr>
        <w:t xml:space="preserve"> 42, no. 1 (2018): vii–xvii. https://doi.org/10.3102/0091732X18768504.</w:t>
      </w:r>
    </w:p>
    <w:p w14:paraId="19628AE0" w14:textId="77777777" w:rsidR="003D35B9" w:rsidRPr="003D35B9" w:rsidRDefault="003D35B9" w:rsidP="003D35B9">
      <w:pPr>
        <w:pStyle w:val="Bibliography"/>
        <w:rPr>
          <w:lang w:val="en-GB"/>
        </w:rPr>
      </w:pPr>
      <w:r w:rsidRPr="003D35B9">
        <w:rPr>
          <w:lang w:val="en-GB"/>
        </w:rPr>
        <w:t xml:space="preserve">Teo, Thomas. “What Is a </w:t>
      </w:r>
      <w:r w:rsidRPr="003D35B9">
        <w:rPr>
          <w:i/>
          <w:iCs/>
          <w:lang w:val="en-GB"/>
        </w:rPr>
        <w:t>White Epistemology</w:t>
      </w:r>
      <w:r w:rsidRPr="003D35B9">
        <w:rPr>
          <w:lang w:val="en-GB"/>
        </w:rPr>
        <w:t xml:space="preserve"> in Psychological Science? A Critical Race-Theoretical Analysis.” </w:t>
      </w:r>
      <w:r w:rsidRPr="003D35B9">
        <w:rPr>
          <w:i/>
          <w:iCs/>
          <w:lang w:val="en-GB"/>
        </w:rPr>
        <w:t>Frontiers in Psychology</w:t>
      </w:r>
      <w:r w:rsidRPr="003D35B9">
        <w:rPr>
          <w:lang w:val="en-GB"/>
        </w:rPr>
        <w:t xml:space="preserve"> 26, no. 13 (2022). https://doi.org/10.3389/fpsyg.2022.861584.</w:t>
      </w:r>
    </w:p>
    <w:p w14:paraId="74766546" w14:textId="77777777" w:rsidR="003D35B9" w:rsidRPr="003D35B9" w:rsidRDefault="003D35B9" w:rsidP="003D35B9">
      <w:pPr>
        <w:pStyle w:val="Bibliography"/>
        <w:rPr>
          <w:lang w:val="en-GB"/>
        </w:rPr>
      </w:pPr>
      <w:r w:rsidRPr="003D35B9">
        <w:rPr>
          <w:lang w:val="en-GB"/>
        </w:rPr>
        <w:t xml:space="preserve">The Australian Government Solicitor. </w:t>
      </w:r>
      <w:r w:rsidRPr="003D35B9">
        <w:rPr>
          <w:i/>
          <w:iCs/>
          <w:lang w:val="en-GB"/>
        </w:rPr>
        <w:t>Australia’s Constitution: With Overview and Notes by the Australian Government Solicitor</w:t>
      </w:r>
      <w:r w:rsidRPr="003D35B9">
        <w:rPr>
          <w:lang w:val="en-GB"/>
        </w:rPr>
        <w:t>. Canberra, Australia: The Parliamentary Education Office, 2022.</w:t>
      </w:r>
    </w:p>
    <w:p w14:paraId="7D182D94" w14:textId="77777777" w:rsidR="003D35B9" w:rsidRPr="003D35B9" w:rsidRDefault="003D35B9" w:rsidP="003D35B9">
      <w:pPr>
        <w:pStyle w:val="Bibliography"/>
        <w:rPr>
          <w:lang w:val="en-GB"/>
        </w:rPr>
      </w:pPr>
      <w:r w:rsidRPr="003D35B9">
        <w:rPr>
          <w:lang w:val="en-GB"/>
        </w:rPr>
        <w:t xml:space="preserve">The University of Sydney. </w:t>
      </w:r>
      <w:r w:rsidRPr="003D35B9">
        <w:rPr>
          <w:i/>
          <w:iCs/>
          <w:lang w:val="en-GB"/>
        </w:rPr>
        <w:t>Charter of Freedom of Speech and Academic Freedom</w:t>
      </w:r>
      <w:r w:rsidRPr="003D35B9">
        <w:rPr>
          <w:lang w:val="en-GB"/>
        </w:rPr>
        <w:t>. 2019. https://www.sydney.edu.au/policies/showdoc.aspx?recnum=PDOC2011/64&amp;RendNum=0.</w:t>
      </w:r>
    </w:p>
    <w:p w14:paraId="23999069" w14:textId="77777777" w:rsidR="003D35B9" w:rsidRPr="003D35B9" w:rsidRDefault="003D35B9" w:rsidP="003D35B9">
      <w:pPr>
        <w:pStyle w:val="Bibliography"/>
        <w:rPr>
          <w:lang w:val="en-GB"/>
        </w:rPr>
      </w:pPr>
      <w:r w:rsidRPr="003D35B9">
        <w:rPr>
          <w:lang w:val="en-GB"/>
        </w:rPr>
        <w:t xml:space="preserve">———. “University of Sydney First Choice for School Leavers in NSW.” </w:t>
      </w:r>
      <w:r w:rsidRPr="003D35B9">
        <w:rPr>
          <w:i/>
          <w:iCs/>
          <w:lang w:val="en-GB"/>
        </w:rPr>
        <w:t>News and Opinion</w:t>
      </w:r>
      <w:r w:rsidRPr="003D35B9">
        <w:rPr>
          <w:lang w:val="en-GB"/>
        </w:rPr>
        <w:t>, December 8, 2020. https://www.sydney.edu.au/news-opinion/news/2020/12/08/university-of-sydney-first-choice-for-school-leavers-in-nsw.html.</w:t>
      </w:r>
    </w:p>
    <w:p w14:paraId="5545D98B" w14:textId="77777777" w:rsidR="003D35B9" w:rsidRPr="003D35B9" w:rsidRDefault="003D35B9" w:rsidP="003D35B9">
      <w:pPr>
        <w:pStyle w:val="Bibliography"/>
        <w:rPr>
          <w:lang w:val="en-GB"/>
        </w:rPr>
      </w:pPr>
      <w:r w:rsidRPr="003D35B9">
        <w:rPr>
          <w:lang w:val="en-GB"/>
        </w:rPr>
        <w:lastRenderedPageBreak/>
        <w:t xml:space="preserve">Thrower, Jack. </w:t>
      </w:r>
      <w:r w:rsidRPr="003D35B9">
        <w:rPr>
          <w:i/>
          <w:iCs/>
          <w:lang w:val="en-GB"/>
        </w:rPr>
        <w:t>University Is Expensive</w:t>
      </w:r>
      <w:r w:rsidRPr="003D35B9">
        <w:rPr>
          <w:lang w:val="en-GB"/>
        </w:rPr>
        <w:t>. Canberra, Australia: The Australia Institute, 2024. https://australiainstitute.org.au/wp-content/uploads/2024/11/P1736-University-is-expensive-Web-1.pdf.</w:t>
      </w:r>
    </w:p>
    <w:p w14:paraId="73B79BAF" w14:textId="77777777" w:rsidR="003D35B9" w:rsidRPr="003D35B9" w:rsidRDefault="003D35B9" w:rsidP="003D35B9">
      <w:pPr>
        <w:pStyle w:val="Bibliography"/>
        <w:rPr>
          <w:lang w:val="en-GB"/>
        </w:rPr>
      </w:pPr>
      <w:r w:rsidRPr="003D35B9">
        <w:rPr>
          <w:lang w:val="en-GB"/>
        </w:rPr>
        <w:t xml:space="preserve">Thunig, Amy, and Tiffany Jones. “‘Don’t Make Me Play House-N***er’: Indigenous Academic Women Treated as ‘Black Performer’ Within Higher Education.” </w:t>
      </w:r>
      <w:r w:rsidRPr="003D35B9">
        <w:rPr>
          <w:i/>
          <w:iCs/>
          <w:lang w:val="en-GB"/>
        </w:rPr>
        <w:t>Australian Educational Researcher</w:t>
      </w:r>
      <w:r w:rsidRPr="003D35B9">
        <w:rPr>
          <w:lang w:val="en-GB"/>
        </w:rPr>
        <w:t xml:space="preserve"> 48, no. 3 (2021): 397–417.</w:t>
      </w:r>
    </w:p>
    <w:p w14:paraId="65DC81E2" w14:textId="77777777" w:rsidR="003D35B9" w:rsidRPr="003D35B9" w:rsidRDefault="003D35B9" w:rsidP="003D35B9">
      <w:pPr>
        <w:pStyle w:val="Bibliography"/>
        <w:rPr>
          <w:lang w:val="en-GB"/>
        </w:rPr>
      </w:pPr>
      <w:r w:rsidRPr="003D35B9">
        <w:rPr>
          <w:lang w:val="en-GB"/>
        </w:rPr>
        <w:t xml:space="preserve">Weber, Lotte, and Simone Maddison. “USyd’s First in Family: A Seat at the Table (…I Mean, Desk).” Perspective. </w:t>
      </w:r>
      <w:r w:rsidRPr="003D35B9">
        <w:rPr>
          <w:i/>
          <w:iCs/>
          <w:lang w:val="en-GB"/>
        </w:rPr>
        <w:t>Honi Soit</w:t>
      </w:r>
      <w:r w:rsidRPr="003D35B9">
        <w:rPr>
          <w:lang w:val="en-GB"/>
        </w:rPr>
        <w:t xml:space="preserve"> (Sydney, Australia), March 27, 2024. https://honisoit.com/2024/03/usyds-first-in-family-a-seat-at-the-table-i-mean-desk/.</w:t>
      </w:r>
    </w:p>
    <w:p w14:paraId="30719C51" w14:textId="576F97F0" w:rsidR="00803747" w:rsidRPr="00BE3B9D" w:rsidRDefault="006F4688" w:rsidP="003D35B9">
      <w:pPr>
        <w:pStyle w:val="Bibliography"/>
      </w:pPr>
      <w:r>
        <w:fldChar w:fldCharType="end"/>
      </w:r>
    </w:p>
    <w:sectPr w:rsidR="00803747" w:rsidRPr="00BE3B9D">
      <w:footerReference w:type="even"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C33ADFC" w14:textId="77777777" w:rsidR="002466CC" w:rsidRDefault="002466CC" w:rsidP="00143852">
      <w:pPr>
        <w:spacing w:after="0" w:line="240" w:lineRule="auto"/>
      </w:pPr>
      <w:r>
        <w:separator/>
      </w:r>
    </w:p>
  </w:endnote>
  <w:endnote w:type="continuationSeparator" w:id="0">
    <w:p w14:paraId="6A66D02F" w14:textId="77777777" w:rsidR="002466CC" w:rsidRDefault="002466CC" w:rsidP="0014385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Helvetica">
    <w:panose1 w:val="020B0604020202020204"/>
    <w:charset w:val="00"/>
    <w:family w:val="auto"/>
    <w:pitch w:val="variable"/>
    <w:sig w:usb0="E00002FF" w:usb1="5000785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1668927656"/>
      <w:docPartObj>
        <w:docPartGallery w:val="Page Numbers (Bottom of Page)"/>
        <w:docPartUnique/>
      </w:docPartObj>
    </w:sdtPr>
    <w:sdtContent>
      <w:p w14:paraId="443EB8E3" w14:textId="18DC5A86" w:rsidR="00143852" w:rsidRDefault="00143852" w:rsidP="008B3D57">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381978DE" w14:textId="77777777" w:rsidR="00143852" w:rsidRDefault="0014385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1335875156"/>
      <w:docPartObj>
        <w:docPartGallery w:val="Page Numbers (Bottom of Page)"/>
        <w:docPartUnique/>
      </w:docPartObj>
    </w:sdtPr>
    <w:sdtContent>
      <w:p w14:paraId="35927CE7" w14:textId="216DD38E" w:rsidR="00143852" w:rsidRDefault="00143852" w:rsidP="008B3D57">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276A56D9" w14:textId="77777777" w:rsidR="00143852" w:rsidRDefault="0014385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4D3D6EC" w14:textId="77777777" w:rsidR="002466CC" w:rsidRDefault="002466CC" w:rsidP="00143852">
      <w:pPr>
        <w:spacing w:after="0" w:line="240" w:lineRule="auto"/>
      </w:pPr>
      <w:r>
        <w:separator/>
      </w:r>
    </w:p>
  </w:footnote>
  <w:footnote w:type="continuationSeparator" w:id="0">
    <w:p w14:paraId="6F805EEF" w14:textId="77777777" w:rsidR="002466CC" w:rsidRDefault="002466CC" w:rsidP="00143852">
      <w:pPr>
        <w:spacing w:after="0" w:line="240" w:lineRule="auto"/>
      </w:pPr>
      <w:r>
        <w:continuationSeparator/>
      </w:r>
    </w:p>
  </w:footnote>
  <w:footnote w:id="1">
    <w:p w14:paraId="2909ADBE" w14:textId="032F4BCB" w:rsidR="00080AA8" w:rsidRDefault="00080AA8">
      <w:pPr>
        <w:pStyle w:val="FootnoteText"/>
      </w:pPr>
      <w:r>
        <w:rPr>
          <w:rStyle w:val="FootnoteReference"/>
        </w:rPr>
        <w:t>*</w:t>
      </w:r>
      <w:r>
        <w:t xml:space="preserve"> Pen name.</w:t>
      </w:r>
    </w:p>
  </w:footnote>
  <w:footnote w:id="2">
    <w:p w14:paraId="2D3680D9" w14:textId="71E2BEC6" w:rsidR="00785970" w:rsidRDefault="00785970">
      <w:pPr>
        <w:pStyle w:val="FootnoteText"/>
      </w:pPr>
      <w:r>
        <w:rPr>
          <w:rStyle w:val="FootnoteReference"/>
        </w:rPr>
        <w:footnoteRef/>
      </w:r>
      <w:r>
        <w:t xml:space="preserve"> </w:t>
      </w:r>
      <w:r>
        <w:fldChar w:fldCharType="begin"/>
      </w:r>
      <w:r w:rsidR="00153D94">
        <w:instrText xml:space="preserve"> ADDIN ZOTERO_ITEM CSL_CITATION {"citationID":"YiZuObYo","properties":{"formattedCitation":"The University of Sydney, {\\i{}Charter of Freedom of Speech and Academic Freedom} (2019), 2\\uc0\\u8211{}3, https://www.sydney.edu.au/policies/showdoc.aspx?recnum=PDOC2011/64&amp;RendNum=0.","plainCitation":"The University of Sydney, Charter of Freedom of Speech and Academic Freedom (2019), 2–3, https://www.sydney.edu.au/policies/showdoc.aspx?recnum=PDOC2011/64&amp;RendNum=0.","noteIndex":2},"citationItems":[{"id":1486,"uris":["http://zotero.org/users/10054786/items/FLMYXHF9"],"itemData":{"id":1486,"type":"report","title":"Charter of Freedom of Speech and Academic Freedom","URL":"https://www.sydney.edu.au/policies/showdoc.aspx?recnum=PDOC2011/64&amp;RendNum=0","author":[{"family":"The University of Sydney","given":""}],"issued":{"date-parts":[["2019"]]}},"locator":"2–3","label":"page"}],"schema":"https://github.com/citation-style-language/schema/raw/master/csl-citation.json"} </w:instrText>
      </w:r>
      <w:r>
        <w:fldChar w:fldCharType="separate"/>
      </w:r>
      <w:r w:rsidRPr="00785970">
        <w:rPr>
          <w:lang w:val="en-GB"/>
        </w:rPr>
        <w:t xml:space="preserve">The University of Sydney, </w:t>
      </w:r>
      <w:r w:rsidRPr="00785970">
        <w:rPr>
          <w:i/>
          <w:iCs/>
          <w:lang w:val="en-GB"/>
        </w:rPr>
        <w:t>Charter of Freedom of Speech and Academic Freedom</w:t>
      </w:r>
      <w:r w:rsidRPr="00785970">
        <w:rPr>
          <w:lang w:val="en-GB"/>
        </w:rPr>
        <w:t xml:space="preserve"> (2019), 2–3, https://www.sydney.edu.au/policies/showdoc.aspx?recnum=PDOC2011/64&amp;RendNum=0.</w:t>
      </w:r>
      <w:r>
        <w:fldChar w:fldCharType="end"/>
      </w:r>
    </w:p>
  </w:footnote>
  <w:footnote w:id="3">
    <w:p w14:paraId="1C12C423" w14:textId="5BBEAB9C" w:rsidR="000A0813" w:rsidRDefault="000A0813">
      <w:pPr>
        <w:pStyle w:val="FootnoteText"/>
      </w:pPr>
      <w:r>
        <w:rPr>
          <w:rStyle w:val="FootnoteReference"/>
        </w:rPr>
        <w:footnoteRef/>
      </w:r>
      <w:r>
        <w:t xml:space="preserve"> </w:t>
      </w:r>
      <w:r>
        <w:fldChar w:fldCharType="begin"/>
      </w:r>
      <w:r>
        <w:instrText xml:space="preserve"> ADDIN ZOTERO_ITEM CSL_CITATION {"citationID":"WskB51TA","properties":{"formattedCitation":"Aileen Moreton-Robinson, \\uc0\\u8220{}Whiteness, Epistemology and Indigenous Representation,\\uc0\\u8221{} in {\\i{}Whitening Race: Essays in Social and Cultural Criticism} (Canberra, Australia: Aboriginal Studies Press, 2004), 75\\uc0\\u8211{}88; Marta Ara\\uc0\\u250{}jo and Silvia Rodr\\uc0\\u237{}guez Maeso, eds., {\\i{}Eurocentrism, Racism and Knowledge} (London, England: Palgrave Macmillan UK, 2015).","plainCitation":"Aileen Moreton-Robinson, “Whiteness, Epistemology and Indigenous Representation,” in Whitening Race: Essays in Social and Cultural Criticism (Canberra, Australia: Aboriginal Studies Press, 2004), 75–88; Marta Araújo and Silvia Rodríguez Maeso, eds., Eurocentrism, Racism and Knowledge (London, England: Palgrave Macmillan UK, 2015).","noteIndex":3},"citationItems":[{"id":1487,"uris":["http://zotero.org/users/10054786/items/MXR744FE"],"itemData":{"id":1487,"type":"chapter","container-title":"Whitening Race: Essays in Social and Cultural Criticism","event-place":"Canberra, Australia","ISBN":"0-85575-465-6","page":"75–88","publisher":"Aboriginal Studies Press","publisher-place":"Canberra, Australia","title":"Whiteness, Epistemology and Indigenous Representation","author":[{"family":"Moreton-Robinson","given":"Aileen"}],"issued":{"date-parts":[["2004"]]}}},{"id":1489,"uris":["http://zotero.org/users/10054786/items/69Y86CZP"],"itemData":{"id":1489,"type":"book","event-place":"London, England","ISBN":"978-1-137-29289-6","publisher":"Palgrave Macmillan UK","publisher-place":"London, England","title":"Eurocentrism, Racism and Knowledge","editor":[{"family":"Araújo","given":"Marta"},{"family":"Maeso","given":"Silvia Rodríguez"}],"issued":{"date-parts":[["2015"]]}}}],"schema":"https://github.com/citation-style-language/schema/raw/master/csl-citation.json"} </w:instrText>
      </w:r>
      <w:r>
        <w:fldChar w:fldCharType="separate"/>
      </w:r>
      <w:r w:rsidRPr="000A0813">
        <w:rPr>
          <w:lang w:val="en-GB"/>
        </w:rPr>
        <w:t xml:space="preserve">Aileen Moreton-Robinson, “Whiteness, Epistemology and Indigenous Representation,” in </w:t>
      </w:r>
      <w:r w:rsidRPr="000A0813">
        <w:rPr>
          <w:i/>
          <w:iCs/>
          <w:lang w:val="en-GB"/>
        </w:rPr>
        <w:t>Whitening Race: Essays in Social and Cultural Criticism</w:t>
      </w:r>
      <w:r w:rsidRPr="000A0813">
        <w:rPr>
          <w:lang w:val="en-GB"/>
        </w:rPr>
        <w:t xml:space="preserve"> (Canberra, Australia: Aboriginal Studies Press, 2004), 75–88; Marta Araújo and Silvia Rodríguez Maeso, eds., </w:t>
      </w:r>
      <w:r w:rsidRPr="000A0813">
        <w:rPr>
          <w:i/>
          <w:iCs/>
          <w:lang w:val="en-GB"/>
        </w:rPr>
        <w:t>Eurocentrism, Racism and Knowledge</w:t>
      </w:r>
      <w:r w:rsidRPr="000A0813">
        <w:rPr>
          <w:lang w:val="en-GB"/>
        </w:rPr>
        <w:t xml:space="preserve"> (London, England: Palgrave Macmillan UK, 2015).</w:t>
      </w:r>
      <w:r>
        <w:fldChar w:fldCharType="end"/>
      </w:r>
    </w:p>
  </w:footnote>
  <w:footnote w:id="4">
    <w:p w14:paraId="527AE8F1" w14:textId="76AA68F4" w:rsidR="00E31F00" w:rsidRDefault="00E31F00">
      <w:pPr>
        <w:pStyle w:val="FootnoteText"/>
      </w:pPr>
      <w:r>
        <w:rPr>
          <w:rStyle w:val="FootnoteReference"/>
        </w:rPr>
        <w:footnoteRef/>
      </w:r>
      <w:r>
        <w:t xml:space="preserve"> </w:t>
      </w:r>
      <w:r>
        <w:fldChar w:fldCharType="begin"/>
      </w:r>
      <w:r w:rsidR="000A0813">
        <w:instrText xml:space="preserve"> ADDIN ZOTERO_ITEM CSL_CITATION {"citationID":"XIx524Gf","properties":{"formattedCitation":"Moreton-Robinson, \\uc0\\u8220{}Whiteness, Epistemology and Indigenous Representation,\\uc0\\u8221{} 75.","plainCitation":"Moreton-Robinson, “Whiteness, Epistemology and Indigenous Representation,” 75.","noteIndex":4},"citationItems":[{"id":1487,"uris":["http://zotero.org/users/10054786/items/MXR744FE"],"itemData":{"id":1487,"type":"chapter","container-title":"Whitening Race: Essays in Social and Cultural Criticism","event-place":"Canberra, Australia","ISBN":"0-85575-465-6","page":"75–88","publisher":"Aboriginal Studies Press","publisher-place":"Canberra, Australia","title":"Whiteness, Epistemology and Indigenous Representation","author":[{"family":"Moreton-Robinson","given":"Aileen"}],"issued":{"date-parts":[["2004"]]}},"locator":"75","label":"page"}],"schema":"https://github.com/citation-style-language/schema/raw/master/csl-citation.json"} </w:instrText>
      </w:r>
      <w:r>
        <w:fldChar w:fldCharType="separate"/>
      </w:r>
      <w:r w:rsidR="000A0813" w:rsidRPr="000A0813">
        <w:rPr>
          <w:lang w:val="en-GB"/>
        </w:rPr>
        <w:t>Moreton-Robinson, “Whiteness, Epistemology and Indigenous Representation,” 75.</w:t>
      </w:r>
      <w:r>
        <w:fldChar w:fldCharType="end"/>
      </w:r>
    </w:p>
  </w:footnote>
  <w:footnote w:id="5">
    <w:p w14:paraId="06CB3032" w14:textId="0948057C" w:rsidR="001262BD" w:rsidRDefault="001262BD">
      <w:pPr>
        <w:pStyle w:val="FootnoteText"/>
      </w:pPr>
      <w:r>
        <w:rPr>
          <w:rStyle w:val="FootnoteReference"/>
        </w:rPr>
        <w:footnoteRef/>
      </w:r>
      <w:r>
        <w:t xml:space="preserve"> </w:t>
      </w:r>
      <w:r>
        <w:fldChar w:fldCharType="begin"/>
      </w:r>
      <w:r w:rsidR="000A0813">
        <w:instrText xml:space="preserve"> ADDIN ZOTERO_ITEM CSL_CITATION {"citationID":"L3xE0TYE","properties":{"formattedCitation":"Ara\\uc0\\u250{}jo and Maeso, {\\i{}Eurocentrism, Racism and Knowledge}, 25\\uc0\\u8211{}28.","plainCitation":"Araújo and Maeso, Eurocentrism, Racism and Knowledge, 25–28.","noteIndex":5},"citationItems":[{"id":1489,"uris":["http://zotero.org/users/10054786/items/69Y86CZP"],"itemData":{"id":1489,"type":"book","event-place":"London, England","ISBN":"978-1-137-29289-6","publisher":"Palgrave Macmillan UK","publisher-place":"London, England","title":"Eurocentrism, Racism and Knowledge","editor":[{"family":"Araújo","given":"Marta"},{"family":"Maeso","given":"Silvia Rodríguez"}],"issued":{"date-parts":[["2015"]]}},"locator":"25–28","label":"page"}],"schema":"https://github.com/citation-style-language/schema/raw/master/csl-citation.json"} </w:instrText>
      </w:r>
      <w:r>
        <w:fldChar w:fldCharType="separate"/>
      </w:r>
      <w:r w:rsidR="000A0813" w:rsidRPr="000A0813">
        <w:rPr>
          <w:lang w:val="en-GB"/>
        </w:rPr>
        <w:t xml:space="preserve">Araújo and Maeso, </w:t>
      </w:r>
      <w:r w:rsidR="000A0813" w:rsidRPr="000A0813">
        <w:rPr>
          <w:i/>
          <w:iCs/>
          <w:lang w:val="en-GB"/>
        </w:rPr>
        <w:t>Eurocentrism, Racism and Knowledge</w:t>
      </w:r>
      <w:r w:rsidR="000A0813" w:rsidRPr="000A0813">
        <w:rPr>
          <w:lang w:val="en-GB"/>
        </w:rPr>
        <w:t>, 25–28.</w:t>
      </w:r>
      <w:r>
        <w:fldChar w:fldCharType="end"/>
      </w:r>
    </w:p>
  </w:footnote>
  <w:footnote w:id="6">
    <w:p w14:paraId="2683440B" w14:textId="5F2DA86B" w:rsidR="00A6448E" w:rsidRDefault="00A6448E">
      <w:pPr>
        <w:pStyle w:val="FootnoteText"/>
      </w:pPr>
      <w:r>
        <w:rPr>
          <w:rStyle w:val="FootnoteReference"/>
        </w:rPr>
        <w:footnoteRef/>
      </w:r>
      <w:r>
        <w:t xml:space="preserve"> </w:t>
      </w:r>
      <w:r>
        <w:fldChar w:fldCharType="begin"/>
      </w:r>
      <w:r w:rsidR="00F75CB1">
        <w:instrText xml:space="preserve"> ADDIN ZOTERO_ITEM CSL_CITATION {"citationID":"4jfQkm0p","properties":{"formattedCitation":"Moreton-Robinson, \\uc0\\u8220{}Whiteness, Epistemology and Indigenous Representation,\\uc0\\u8221{} 75.","plainCitation":"Moreton-Robinson, “Whiteness, Epistemology and Indigenous Representation,” 75.","noteIndex":6},"citationItems":[{"id":1487,"uris":["http://zotero.org/users/10054786/items/MXR744FE"],"itemData":{"id":1487,"type":"chapter","container-title":"Whitening Race: Essays in Social and Cultural Criticism","event-place":"Canberra, Australia","ISBN":"0-85575-465-6","page":"75–88","publisher":"Aboriginal Studies Press","publisher-place":"Canberra, Australia","title":"Whiteness, Epistemology and Indigenous Representation","author":[{"family":"Moreton-Robinson","given":"Aileen"}],"issued":{"date-parts":[["2004"]]}},"locator":"75","label":"page"}],"schema":"https://github.com/citation-style-language/schema/raw/master/csl-citation.json"} </w:instrText>
      </w:r>
      <w:r>
        <w:fldChar w:fldCharType="separate"/>
      </w:r>
      <w:r w:rsidR="00F75CB1" w:rsidRPr="00F75CB1">
        <w:rPr>
          <w:lang w:val="en-GB"/>
        </w:rPr>
        <w:t>Moreton-Robinson, “Whiteness, Epistemology and Indigenous Representation,” 75.</w:t>
      </w:r>
      <w:r>
        <w:fldChar w:fldCharType="end"/>
      </w:r>
    </w:p>
  </w:footnote>
  <w:footnote w:id="7">
    <w:p w14:paraId="611B43AA" w14:textId="62EEA5B4" w:rsidR="00415FE3" w:rsidRDefault="00415FE3">
      <w:pPr>
        <w:pStyle w:val="FootnoteText"/>
      </w:pPr>
      <w:r>
        <w:rPr>
          <w:rStyle w:val="FootnoteReference"/>
        </w:rPr>
        <w:footnoteRef/>
      </w:r>
      <w:r>
        <w:t xml:space="preserve"> </w:t>
      </w:r>
      <w:r>
        <w:fldChar w:fldCharType="begin"/>
      </w:r>
      <w:r w:rsidR="00F75CB1">
        <w:instrText xml:space="preserve"> ADDIN ZOTERO_ITEM CSL_CITATION {"citationID":"CO3is1M5","properties":{"formattedCitation":"Moreton-Robinson, 75.","plainCitation":"Moreton-Robinson, 75.","noteIndex":7},"citationItems":[{"id":1487,"uris":["http://zotero.org/users/10054786/items/MXR744FE"],"itemData":{"id":1487,"type":"chapter","container-title":"Whitening Race: Essays in Social and Cultural Criticism","event-place":"Canberra, Australia","ISBN":"0-85575-465-6","page":"75–88","publisher":"Aboriginal Studies Press","publisher-place":"Canberra, Australia","title":"Whiteness, Epistemology and Indigenous Representation","author":[{"family":"Moreton-Robinson","given":"Aileen"}],"issued":{"date-parts":[["2004"]]}},"locator":"75","label":"page"}],"schema":"https://github.com/citation-style-language/schema/raw/master/csl-citation.json"} </w:instrText>
      </w:r>
      <w:r>
        <w:fldChar w:fldCharType="separate"/>
      </w:r>
      <w:r w:rsidR="00F75CB1">
        <w:rPr>
          <w:lang w:val="en-GB"/>
        </w:rPr>
        <w:t>Moreton-Robinson, 75.</w:t>
      </w:r>
      <w:r>
        <w:fldChar w:fldCharType="end"/>
      </w:r>
    </w:p>
  </w:footnote>
  <w:footnote w:id="8">
    <w:p w14:paraId="64B47F8D" w14:textId="18CEC2DC" w:rsidR="00E06976" w:rsidRDefault="00E06976">
      <w:pPr>
        <w:pStyle w:val="FootnoteText"/>
      </w:pPr>
      <w:r>
        <w:rPr>
          <w:rStyle w:val="FootnoteReference"/>
        </w:rPr>
        <w:footnoteRef/>
      </w:r>
      <w:r>
        <w:t xml:space="preserve"> </w:t>
      </w:r>
      <w:r>
        <w:fldChar w:fldCharType="begin"/>
      </w:r>
      <w:r w:rsidR="003D35B9">
        <w:instrText xml:space="preserve"> ADDIN ZOTERO_ITEM CSL_CITATION {"citationID":"JGSfmfkr","properties":{"formattedCitation":"Johan \\uc0\\u214{}stling and David Larsson Heidenblad, {\\i{}The History of Knowledge}, trans. Lena Olsson, Elements in Historical Theory and Practice, ed. Daniel Woolf (Cambridge, United Kingdom: Cambridge University Press, 2023), 2; Ian McNiven, \\uc0\\u8220{}Torres Strait Islanders: The 9000-Year History of a Maritime People,\\uc0\\u8221{} in {\\i{}Awakening: Stories from the Torres Strait} (Queensland, Australia: Queensland Museum, 2011), 211; Patrick Nunn and Nick Reid, \\uc0\\u8220{}Evidence That the Oral Stories of First Nations Australians May Be Thousands of Years Old,\\uc0\\u8221{} {\\i{}Agora} 58, no. 2 (2023): 9\\uc0\\u8211{}13.","plainCitation":"Johan Östling and David Larsson Heidenblad, The History of Knowledge, trans. Lena Olsson, Elements in Historical Theory and Practice, ed. Daniel Woolf (Cambridge, United Kingdom: Cambridge University Press, 2023), 2; Ian McNiven, “Torres Strait Islanders: The 9000-Year History of a Maritime People,” in Awakening: Stories from the Torres Strait (Queensland, Australia: Queensland Museum, 2011), 211; Patrick Nunn and Nick Reid, “Evidence That the Oral Stories of First Nations Australians May Be Thousands of Years Old,” Agora 58, no. 2 (2023): 9–13.","noteIndex":8},"citationItems":[{"id":1490,"uris":["http://zotero.org/users/10054786/items/CJVL3MW9"],"itemData":{"id":1490,"type":"book","collection-title":"Elements in Historical Theory and Practice","event-place":"Cambridge, United Kingdom","ISBN":"2634-8616","publisher":"Cambridge University Press","publisher-place":"Cambridge, United Kingdom","title":"The History of Knowledge","author":[{"family":"Östling","given":"Johan"},{"family":"Heidenblad","given":"David Larsson"}],"translator":[{"family":"Olsson","given":"Lena"}],"collection-editor":[{"family":"Woolf","given":"Daniel"}],"issued":{"date-parts":[["2023"]]}},"locator":"2","label":"page"},{"id":1492,"uris":["http://zotero.org/users/10054786/items/QUB47279"],"itemData":{"id":1492,"type":"chapter","container-title":"Awakening: Stories from the Torres Strait","event-place":"Queensland, Australia","page":"210–219","publisher":"Queensland Museum","publisher-place":"Queensland, Australia","title":"Torres Strait Islanders: The 9000-Year History of a Maritime People","author":[{"family":"McNiven","given":"Ian"}],"issued":{"date-parts":[["2011"]]}},"locator":"211","label":"page"},{"id":1491,"uris":["http://zotero.org/users/10054786/items/RMGN9HII"],"itemData":{"id":1491,"type":"article-journal","container-title":"Agora","issue":"2","page":"9–13","title":"Evidence that the Oral Stories of First Nations Australians May Be Thousands of Years Old","volume":"58","author":[{"family":"Nunn","given":"Patrick"},{"family":"Reid","given":"Nick"}],"issued":{"date-parts":[["2023"]]}}}],"schema":"https://github.com/citation-style-language/schema/raw/master/csl-citation.json"} </w:instrText>
      </w:r>
      <w:r>
        <w:fldChar w:fldCharType="separate"/>
      </w:r>
      <w:r w:rsidR="003D35B9" w:rsidRPr="003D35B9">
        <w:rPr>
          <w:lang w:val="en-GB"/>
        </w:rPr>
        <w:t xml:space="preserve">Johan Östling and David Larsson Heidenblad, </w:t>
      </w:r>
      <w:r w:rsidR="003D35B9" w:rsidRPr="003D35B9">
        <w:rPr>
          <w:i/>
          <w:iCs/>
          <w:lang w:val="en-GB"/>
        </w:rPr>
        <w:t>The History of Knowledge</w:t>
      </w:r>
      <w:r w:rsidR="003D35B9" w:rsidRPr="003D35B9">
        <w:rPr>
          <w:lang w:val="en-GB"/>
        </w:rPr>
        <w:t xml:space="preserve">, trans. Lena Olsson, Elements in Historical Theory and Practice, ed. Daniel Woolf (Cambridge, United Kingdom: Cambridge University Press, 2023), 2; Ian McNiven, “Torres Strait Islanders: The 9000-Year History of a Maritime People,” in </w:t>
      </w:r>
      <w:r w:rsidR="003D35B9" w:rsidRPr="003D35B9">
        <w:rPr>
          <w:i/>
          <w:iCs/>
          <w:lang w:val="en-GB"/>
        </w:rPr>
        <w:t>Awakening: Stories from the Torres Strait</w:t>
      </w:r>
      <w:r w:rsidR="003D35B9" w:rsidRPr="003D35B9">
        <w:rPr>
          <w:lang w:val="en-GB"/>
        </w:rPr>
        <w:t xml:space="preserve"> (Queensland, Australia: Queensland Museum, 2011), 211; Patrick Nunn and Nick Reid, “Evidence That the Oral Stories of First Nations Australians May Be Thousands of Years Old,” </w:t>
      </w:r>
      <w:r w:rsidR="003D35B9" w:rsidRPr="003D35B9">
        <w:rPr>
          <w:i/>
          <w:iCs/>
          <w:lang w:val="en-GB"/>
        </w:rPr>
        <w:t>Agora</w:t>
      </w:r>
      <w:r w:rsidR="003D35B9" w:rsidRPr="003D35B9">
        <w:rPr>
          <w:lang w:val="en-GB"/>
        </w:rPr>
        <w:t xml:space="preserve"> 58, no. 2 (2023): 9–13.</w:t>
      </w:r>
      <w:r>
        <w:fldChar w:fldCharType="end"/>
      </w:r>
    </w:p>
  </w:footnote>
  <w:footnote w:id="9">
    <w:p w14:paraId="526F762E" w14:textId="1387168F" w:rsidR="00F62998" w:rsidRDefault="00F62998">
      <w:pPr>
        <w:pStyle w:val="FootnoteText"/>
      </w:pPr>
      <w:r>
        <w:rPr>
          <w:rStyle w:val="FootnoteReference"/>
        </w:rPr>
        <w:footnoteRef/>
      </w:r>
      <w:r>
        <w:t xml:space="preserve"> </w:t>
      </w:r>
      <w:r>
        <w:fldChar w:fldCharType="begin"/>
      </w:r>
      <w:r w:rsidR="00F75CB1">
        <w:instrText xml:space="preserve"> ADDIN ZOTERO_ITEM CSL_CITATION {"citationID":"O8TiikMV","properties":{"formattedCitation":"Ara\\uc0\\u250{}jo and Maeso, {\\i{}Eurocentrism, Racism and Knowledge}, 23\\uc0\\u8211{}27; Stephen Lake et al., \\uc0\\u8220{}A Brief History of Australian Universities,\\uc0\\u8221{} {\\i{}Social Alternatives} 41, no. 1 (2022): 8\\uc0\\u8211{}9.","plainCitation":"Araújo and Maeso, Eurocentrism, Racism and Knowledge, 23–27; Stephen Lake et al., “A Brief History of Australian Universities,” Social Alternatives 41, no. 1 (2022): 8–9.","noteIndex":9},"citationItems":[{"id":1489,"uris":["http://zotero.org/users/10054786/items/69Y86CZP"],"itemData":{"id":1489,"type":"book","event-place":"London, England","ISBN":"978-1-137-29289-6","publisher":"Palgrave Macmillan UK","publisher-place":"London, England","title":"Eurocentrism, Racism and Knowledge","editor":[{"family":"Araújo","given":"Marta"},{"family":"Maeso","given":"Silvia Rodríguez"}],"issued":{"date-parts":[["2015"]]}},"locator":"23–27","label":"page"},{"id":1522,"uris":["http://zotero.org/users/10054786/items/FNZJJ84X"],"itemData":{"id":1522,"type":"article-journal","container-title":"Social Alternatives","issue":"1","page":"8–16","title":"A Brief History of Australian Universities","volume":"41","author":[{"family":"Lake","given":"Stephen"},{"family":"Joannes-Boyau","given":"Renaud"},{"family":"Lucas","given":"Adam"},{"family":"McCallum","given":"Adrian"},{"family":"O'Connor","given":"Justin"},{"family":"Pelizzon","given":"Alessandro"},{"family":"Tregear","given":"Peter"},{"family":"Vodeb","given":"Oliver"}],"issued":{"date-parts":[["2022"]]}},"locator":"8–9","label":"page"}],"schema":"https://github.com/citation-style-language/schema/raw/master/csl-citation.json"} </w:instrText>
      </w:r>
      <w:r>
        <w:fldChar w:fldCharType="separate"/>
      </w:r>
      <w:r w:rsidR="00916295" w:rsidRPr="00916295">
        <w:rPr>
          <w:lang w:val="en-GB"/>
        </w:rPr>
        <w:t xml:space="preserve">Araújo and Maeso, </w:t>
      </w:r>
      <w:r w:rsidR="00916295" w:rsidRPr="00916295">
        <w:rPr>
          <w:i/>
          <w:iCs/>
          <w:lang w:val="en-GB"/>
        </w:rPr>
        <w:t>Eurocentrism, Racism and Knowledge</w:t>
      </w:r>
      <w:r w:rsidR="00916295" w:rsidRPr="00916295">
        <w:rPr>
          <w:lang w:val="en-GB"/>
        </w:rPr>
        <w:t xml:space="preserve">, 23–27; Stephen Lake et al., “A Brief History of Australian Universities,” </w:t>
      </w:r>
      <w:r w:rsidR="00916295" w:rsidRPr="00916295">
        <w:rPr>
          <w:i/>
          <w:iCs/>
          <w:lang w:val="en-GB"/>
        </w:rPr>
        <w:t>Social Alternatives</w:t>
      </w:r>
      <w:r w:rsidR="00916295" w:rsidRPr="00916295">
        <w:rPr>
          <w:lang w:val="en-GB"/>
        </w:rPr>
        <w:t xml:space="preserve"> 41, no. 1 (2022): 8–9.</w:t>
      </w:r>
      <w:r>
        <w:fldChar w:fldCharType="end"/>
      </w:r>
    </w:p>
  </w:footnote>
  <w:footnote w:id="10">
    <w:p w14:paraId="696ADC25" w14:textId="537F5B14" w:rsidR="00667E42" w:rsidRDefault="00667E42" w:rsidP="00667E42">
      <w:pPr>
        <w:pStyle w:val="FootnoteText"/>
      </w:pPr>
      <w:r>
        <w:rPr>
          <w:rStyle w:val="FootnoteReference"/>
        </w:rPr>
        <w:footnoteRef/>
      </w:r>
      <w:r>
        <w:t xml:space="preserve"> </w:t>
      </w:r>
      <w:r>
        <w:fldChar w:fldCharType="begin"/>
      </w:r>
      <w:r w:rsidR="003D35B9">
        <w:instrText xml:space="preserve"> ADDIN ZOTERO_ITEM CSL_CITATION {"citationID":"z3oOk6EP","properties":{"formattedCitation":"Ara\\uc0\\u250{}jo and Maeso, {\\i{}Eurocentrism, Racism and Knowledge}, 24.","plainCitation":"Araújo and Maeso, Eurocentrism, Racism and Knowledge, 24.","noteIndex":10},"citationItems":[{"id":1489,"uris":["http://zotero.org/users/10054786/items/69Y86CZP"],"itemData":{"id":1489,"type":"book","event-place":"London, England","ISBN":"978-1-137-29289-6","publisher":"Palgrave Macmillan UK","publisher-place":"London, England","title":"Eurocentrism, Racism and Knowledge","editor":[{"family":"Araújo","given":"Marta"},{"family":"Maeso","given":"Silvia Rodríguez"}],"issued":{"date-parts":[["2015"]]}},"locator":"24","label":"page"}],"schema":"https://github.com/citation-style-language/schema/raw/master/csl-citation.json"} </w:instrText>
      </w:r>
      <w:r>
        <w:fldChar w:fldCharType="separate"/>
      </w:r>
      <w:r w:rsidR="00916295" w:rsidRPr="00916295">
        <w:rPr>
          <w:lang w:val="en-GB"/>
        </w:rPr>
        <w:t xml:space="preserve">Araújo and Maeso, </w:t>
      </w:r>
      <w:r w:rsidR="00916295" w:rsidRPr="00916295">
        <w:rPr>
          <w:i/>
          <w:iCs/>
          <w:lang w:val="en-GB"/>
        </w:rPr>
        <w:t>Eurocentrism, Racism and Knowledge</w:t>
      </w:r>
      <w:r w:rsidR="00916295" w:rsidRPr="00916295">
        <w:rPr>
          <w:lang w:val="en-GB"/>
        </w:rPr>
        <w:t>, 24.</w:t>
      </w:r>
      <w:r>
        <w:fldChar w:fldCharType="end"/>
      </w:r>
      <w:r>
        <w:t xml:space="preserve"> It is worth noting here that when I refer to “Western knowledge” I refer also to masculine knowledge, for the intersection of Westernness and maleness is indivisible in this context.</w:t>
      </w:r>
    </w:p>
  </w:footnote>
  <w:footnote w:id="11">
    <w:p w14:paraId="154B30D1" w14:textId="226A10C1" w:rsidR="007A4C13" w:rsidRDefault="007A4C13">
      <w:pPr>
        <w:pStyle w:val="FootnoteText"/>
      </w:pPr>
      <w:r>
        <w:rPr>
          <w:rStyle w:val="FootnoteReference"/>
        </w:rPr>
        <w:footnoteRef/>
      </w:r>
      <w:r>
        <w:t xml:space="preserve"> </w:t>
      </w:r>
      <w:r>
        <w:fldChar w:fldCharType="begin"/>
      </w:r>
      <w:r w:rsidR="003D35B9">
        <w:instrText xml:space="preserve"> ADDIN ZOTERO_ITEM CSL_CITATION {"citationID":"r8QAzv1R","properties":{"formattedCitation":"Thomas Teo, \\uc0\\u8220{}What Is a {\\i{}White Epistemology} in Psychological Science? A Critical Race-Theoretical Analysis,\\uc0\\u8221{} {\\i{}Frontiers in Psychology} 26, no. 13 (2022), https://doi.org/10.3389/fpsyg.2022.861584.","plainCitation":"Thomas Teo, “What Is a White Epistemology in Psychological Science? A Critical Race-Theoretical Analysis,” Frontiers in Psychology 26, no. 13 (2022), https://doi.org/10.3389/fpsyg.2022.861584.","noteIndex":11},"citationItems":[{"id":1521,"uris":["http://zotero.org/users/10054786/items/JI3DILLW"],"itemData":{"id":1521,"type":"article-journal","container-title":"Frontiers in Psychology","DOI":"10.3389/fpsyg.2022.861584","issue":"13","journalAbbreviation":"Front Psychol.","title":"What Is a &lt;i&gt;White Epistemology&lt;/i&gt; in Psychological Science? A Critical Race-Theoretical Analysis","volume":"26","author":[{"family":"Teo","given":"Thomas"}],"issued":{"date-parts":[["2022"]]}}}],"schema":"https://github.com/citation-style-language/schema/raw/master/csl-citation.json"} </w:instrText>
      </w:r>
      <w:r>
        <w:fldChar w:fldCharType="separate"/>
      </w:r>
      <w:r w:rsidR="003D35B9" w:rsidRPr="003D35B9">
        <w:rPr>
          <w:lang w:val="en-GB"/>
        </w:rPr>
        <w:t xml:space="preserve">Thomas Teo, “What Is a </w:t>
      </w:r>
      <w:r w:rsidR="003D35B9" w:rsidRPr="003D35B9">
        <w:rPr>
          <w:i/>
          <w:iCs/>
          <w:lang w:val="en-GB"/>
        </w:rPr>
        <w:t>White Epistemology</w:t>
      </w:r>
      <w:r w:rsidR="003D35B9" w:rsidRPr="003D35B9">
        <w:rPr>
          <w:lang w:val="en-GB"/>
        </w:rPr>
        <w:t xml:space="preserve"> in Psychological Science? A Critical Race-Theoretical Analysis,” </w:t>
      </w:r>
      <w:r w:rsidR="003D35B9" w:rsidRPr="003D35B9">
        <w:rPr>
          <w:i/>
          <w:iCs/>
          <w:lang w:val="en-GB"/>
        </w:rPr>
        <w:t>Frontiers in Psychology</w:t>
      </w:r>
      <w:r w:rsidR="003D35B9" w:rsidRPr="003D35B9">
        <w:rPr>
          <w:lang w:val="en-GB"/>
        </w:rPr>
        <w:t xml:space="preserve"> 26, no. 13 (2022), https://doi.org/10.3389/fpsyg.2022.861584.</w:t>
      </w:r>
      <w:r>
        <w:fldChar w:fldCharType="end"/>
      </w:r>
    </w:p>
  </w:footnote>
  <w:footnote w:id="12">
    <w:p w14:paraId="1D49A03B" w14:textId="380D7907" w:rsidR="000149A4" w:rsidRDefault="000149A4">
      <w:pPr>
        <w:pStyle w:val="FootnoteText"/>
      </w:pPr>
      <w:r>
        <w:rPr>
          <w:rStyle w:val="FootnoteReference"/>
        </w:rPr>
        <w:footnoteRef/>
      </w:r>
      <w:r w:rsidR="00257E10">
        <w:t xml:space="preserve"> For examples</w:t>
      </w:r>
      <w:r w:rsidR="00360C05">
        <w:t>,</w:t>
      </w:r>
      <w:r w:rsidR="00257E10">
        <w:t xml:space="preserve"> see, </w:t>
      </w:r>
      <w:r w:rsidR="00360C05">
        <w:t>respectively:</w:t>
      </w:r>
      <w:r>
        <w:t xml:space="preserve"> </w:t>
      </w:r>
      <w:r>
        <w:fldChar w:fldCharType="begin"/>
      </w:r>
      <w:r w:rsidR="003D35B9">
        <w:instrText xml:space="preserve"> ADDIN ZOTERO_ITEM CSL_CITATION {"citationID":"uPbN1BYI","properties":{"formattedCitation":"Ara\\uc0\\u250{}jo and Maeso, {\\i{}Eurocentrism, Racism and Knowledge}, 26; Karen Dale, \\uc0\\u8220{}Building a Social Materiality: Spatial and Embodied Politics in Organizational Control,\\uc0\\u8221{} {\\i{}The Interdisciplinary Journal of Organization, Theory and Society} 12, no. 5 (2005): 649\\uc0\\u8211{}78; James Redfield, \\uc0\\u8220{}Kant\\uc0\\u8217{}s Racist Anthropology in Context: Ethnographic Archives of the German Enlightenment,\\uc0\\u8221{} {\\i{}Cromohs} 27 (2025): 96\\uc0\\u8211{}127, https://doi.org/10.36253/cromohs-15099.","plainCitation":"Araújo and Maeso, Eurocentrism, Racism and Knowledge, 26; Karen Dale, “Building a Social Materiality: Spatial and Embodied Politics in Organizational Control,” The Interdisciplinary Journal of Organization, Theory and Society 12, no. 5 (2005): 649–78; James Redfield, “Kant’s Racist Anthropology in Context: Ethnographic Archives of the German Enlightenment,” Cromohs 27 (2025): 96–127, https://doi.org/10.36253/cromohs-15099.","noteIndex":12},"citationItems":[{"id":1489,"uris":["http://zotero.org/users/10054786/items/69Y86CZP"],"itemData":{"id":1489,"type":"book","event-place":"London, England","ISBN":"978-1-137-29289-6","publisher":"Palgrave Macmillan UK","publisher-place":"London, England","title":"Eurocentrism, Racism and Knowledge","editor":[{"family":"Araújo","given":"Marta"},{"family":"Maeso","given":"Silvia Rodríguez"}],"issued":{"date-parts":[["2015"]]}},"locator":"26","label":"page"},{"id":1495,"uris":["http://zotero.org/users/10054786/items/4ZCGQ477"],"itemData":{"id":1495,"type":"article-journal","container-title":"The Interdisciplinary journal of Organization, Theory and Society","issue":"5","journalAbbreviation":"Organization","page":"649–678","title":"Building a Social Materiality: Spatial and Embodied Politics in Organizational Control","volume":"12","author":[{"family":"Dale","given":"Karen"}],"issued":{"date-parts":[["2005"]]}}},{"id":1494,"uris":["http://zotero.org/users/10054786/items/YV7GFR8F"],"itemData":{"id":1494,"type":"article-journal","container-title":"Cromohs","DOI":"10.36253/cromohs-15099","page":"96–127","title":"Kant's Racist Anthropology in Context: Ethnographic Archives of the German Enlightenment","volume":"27","author":[{"family":"Redfield","given":"James"}],"issued":{"date-parts":[["2025"]]}}}],"schema":"https://github.com/citation-style-language/schema/raw/master/csl-citation.json"} </w:instrText>
      </w:r>
      <w:r>
        <w:fldChar w:fldCharType="separate"/>
      </w:r>
      <w:r w:rsidR="007A4C13" w:rsidRPr="007A4C13">
        <w:rPr>
          <w:lang w:val="en-GB"/>
        </w:rPr>
        <w:t xml:space="preserve">Araújo and Maeso, </w:t>
      </w:r>
      <w:r w:rsidR="007A4C13" w:rsidRPr="007A4C13">
        <w:rPr>
          <w:i/>
          <w:iCs/>
          <w:lang w:val="en-GB"/>
        </w:rPr>
        <w:t>Eurocentrism, Racism and Knowledge</w:t>
      </w:r>
      <w:r w:rsidR="007A4C13" w:rsidRPr="007A4C13">
        <w:rPr>
          <w:lang w:val="en-GB"/>
        </w:rPr>
        <w:t xml:space="preserve">, 26; Karen Dale, “Building a Social Materiality: Spatial and Embodied Politics in Organizational Control,” </w:t>
      </w:r>
      <w:r w:rsidR="007A4C13" w:rsidRPr="007A4C13">
        <w:rPr>
          <w:i/>
          <w:iCs/>
          <w:lang w:val="en-GB"/>
        </w:rPr>
        <w:t>The Interdisciplinary Journal of Organization, Theory and Society</w:t>
      </w:r>
      <w:r w:rsidR="007A4C13" w:rsidRPr="007A4C13">
        <w:rPr>
          <w:lang w:val="en-GB"/>
        </w:rPr>
        <w:t xml:space="preserve"> 12, no. 5 (2005): 649–78; James Redfield, “Kant’s Racist Anthropology in Context: Ethnographic Archives of the German Enlightenment,” </w:t>
      </w:r>
      <w:r w:rsidR="007A4C13" w:rsidRPr="007A4C13">
        <w:rPr>
          <w:i/>
          <w:iCs/>
          <w:lang w:val="en-GB"/>
        </w:rPr>
        <w:t>Cromohs</w:t>
      </w:r>
      <w:r w:rsidR="007A4C13" w:rsidRPr="007A4C13">
        <w:rPr>
          <w:lang w:val="en-GB"/>
        </w:rPr>
        <w:t xml:space="preserve"> 27 (2025): 96–127, https://doi.org/10.36253/cromohs-15099.</w:t>
      </w:r>
      <w:r>
        <w:fldChar w:fldCharType="end"/>
      </w:r>
    </w:p>
  </w:footnote>
  <w:footnote w:id="13">
    <w:p w14:paraId="202E0B51" w14:textId="7835B0F5" w:rsidR="009E32BA" w:rsidRDefault="009E32BA">
      <w:pPr>
        <w:pStyle w:val="FootnoteText"/>
      </w:pPr>
      <w:r>
        <w:rPr>
          <w:rStyle w:val="FootnoteReference"/>
        </w:rPr>
        <w:footnoteRef/>
      </w:r>
      <w:r>
        <w:t xml:space="preserve"> </w:t>
      </w:r>
      <w:r>
        <w:fldChar w:fldCharType="begin"/>
      </w:r>
      <w:r w:rsidR="003D35B9">
        <w:instrText xml:space="preserve"> ADDIN ZOTERO_ITEM CSL_CITATION {"citationID":"DbFyePI1","properties":{"formattedCitation":"David Crystal, \\uc0\\u8220{}Two Thousand Million?,\\uc0\\u8221{} {\\i{}English Today} 24, no. 1 (2008): 3\\uc0\\u8211{}6.","plainCitation":"David Crystal, “Two Thousand Million?,” English Today 24, no. 1 (2008): 3–6.","noteIndex":13},"citationItems":[{"id":1497,"uris":["http://zotero.org/users/10054786/items/XJDNLXVT"],"itemData":{"id":1497,"type":"article-journal","container-title":"English Today","issue":"1","page":"3–6","title":"Two Thousand Million?","volume":"24","author":[{"family":"Crystal","given":"David"}],"issued":{"date-parts":[["2008"]]}}}],"schema":"https://github.com/citation-style-language/schema/raw/master/csl-citation.json"} </w:instrText>
      </w:r>
      <w:r>
        <w:fldChar w:fldCharType="separate"/>
      </w:r>
      <w:r w:rsidRPr="009E32BA">
        <w:rPr>
          <w:lang w:val="en-GB"/>
        </w:rPr>
        <w:t xml:space="preserve">David Crystal, “Two Thousand Million?,” </w:t>
      </w:r>
      <w:r w:rsidRPr="009E32BA">
        <w:rPr>
          <w:i/>
          <w:iCs/>
          <w:lang w:val="en-GB"/>
        </w:rPr>
        <w:t>English Today</w:t>
      </w:r>
      <w:r w:rsidRPr="009E32BA">
        <w:rPr>
          <w:lang w:val="en-GB"/>
        </w:rPr>
        <w:t xml:space="preserve"> 24, no. 1 (2008): 3–6.</w:t>
      </w:r>
      <w:r>
        <w:fldChar w:fldCharType="end"/>
      </w:r>
    </w:p>
  </w:footnote>
  <w:footnote w:id="14">
    <w:p w14:paraId="647C61C1" w14:textId="14196B1B" w:rsidR="006A0858" w:rsidRDefault="006A0858">
      <w:pPr>
        <w:pStyle w:val="FootnoteText"/>
      </w:pPr>
      <w:r>
        <w:rPr>
          <w:rStyle w:val="FootnoteReference"/>
        </w:rPr>
        <w:footnoteRef/>
      </w:r>
      <w:r>
        <w:t xml:space="preserve"> </w:t>
      </w:r>
      <w:r>
        <w:fldChar w:fldCharType="begin"/>
      </w:r>
      <w:r w:rsidR="003D35B9">
        <w:instrText xml:space="preserve"> ADDIN ZOTERO_ITEM CSL_CITATION {"citationID":"86bp8RSn","properties":{"formattedCitation":"Zariah Altman, \\uc0\\u8220{}Speech on Trial? An Exploration into the Effects of Lingual Discrimination on African American Vernacular English,\\uc0\\u8221{} {\\i{}Howard Law Journal} 63, no. 3 (2022): 305\\uc0\\u8211{}306; Amy Thunig and Tiffany Jones, \\uc0\\u8220{}\\uc0\\u8216{}Don\\uc0\\u8217{}t Make Me Play House-N***er\\uc0\\u8217{}: Indigenous Academic Women Treated as \\uc0\\u8216{}Black Performer\\uc0\\u8217{} Within Higher Education,\\uc0\\u8221{} {\\i{}Australian Educational Researcher} 48, no. 3 (2021): 399.","plainCitation":"Zariah Altman, “Speech on Trial? An Exploration into the Effects of Lingual Discrimination on African American Vernacular English,” Howard Law Journal 63, no. 3 (2022): 305–306; Amy Thunig and Tiffany Jones, “‘Don’t Make Me Play House-N***er’: Indigenous Academic Women Treated as ‘Black Performer’ Within Higher Education,” Australian Educational Researcher 48, no. 3 (2021): 399.","noteIndex":14},"citationItems":[{"id":1509,"uris":["http://zotero.org/users/10054786/items/CEQ8Q46U"],"itemData":{"id":1509,"type":"article-journal","container-title":"Howard Law Journal","issue":"3","page":"503–532","title":"Speech on Trial? An Exploration into the Effects of Lingual Discrimination on African American Vernacular English","volume":"63","author":[{"family":"Altman","given":"Zariah"}],"issued":{"date-parts":[["2022"]]}},"locator":"305–306","label":"page"},{"id":1510,"uris":["http://zotero.org/users/10054786/items/IR3WGTI3"],"itemData":{"id":1510,"type":"article-journal","container-title":"Australian Educational Researcher","issue":"3","page":"397–417","title":"'Don't Make Me Play House-N***er': Indigenous Academic Women Treated as 'Black Performer' Within Higher Education","volume":"48","author":[{"family":"Thunig","given":"Amy"},{"family":"Jones","given":"Tiffany"}],"issued":{"date-parts":[["2021"]]}},"locator":"399","label":"page"}],"schema":"https://github.com/citation-style-language/schema/raw/master/csl-citation.json"} </w:instrText>
      </w:r>
      <w:r>
        <w:fldChar w:fldCharType="separate"/>
      </w:r>
      <w:r w:rsidR="008516D7" w:rsidRPr="008516D7">
        <w:rPr>
          <w:lang w:val="en-GB"/>
        </w:rPr>
        <w:t xml:space="preserve">Zariah Altman, “Speech on Trial? An Exploration into the Effects of Lingual Discrimination on African American Vernacular English,” </w:t>
      </w:r>
      <w:r w:rsidR="008516D7" w:rsidRPr="008516D7">
        <w:rPr>
          <w:i/>
          <w:iCs/>
          <w:lang w:val="en-GB"/>
        </w:rPr>
        <w:t>Howard Law Journal</w:t>
      </w:r>
      <w:r w:rsidR="008516D7" w:rsidRPr="008516D7">
        <w:rPr>
          <w:lang w:val="en-GB"/>
        </w:rPr>
        <w:t xml:space="preserve"> 63, no. 3 (2022): 305–306; Amy Thunig and Tiffany Jones, “‘Don’t Make Me Play House-N***er’: Indigenous Academic Women Treated as ‘Black Performer’ Within Higher Education,” </w:t>
      </w:r>
      <w:r w:rsidR="008516D7" w:rsidRPr="008516D7">
        <w:rPr>
          <w:i/>
          <w:iCs/>
          <w:lang w:val="en-GB"/>
        </w:rPr>
        <w:t>Australian Educational Researcher</w:t>
      </w:r>
      <w:r w:rsidR="008516D7" w:rsidRPr="008516D7">
        <w:rPr>
          <w:lang w:val="en-GB"/>
        </w:rPr>
        <w:t xml:space="preserve"> 48, no. 3 (2021): 399.</w:t>
      </w:r>
      <w:r>
        <w:fldChar w:fldCharType="end"/>
      </w:r>
    </w:p>
  </w:footnote>
  <w:footnote w:id="15">
    <w:p w14:paraId="3F279550" w14:textId="76B1D3C3" w:rsidR="00F53B56" w:rsidRDefault="00F53B56">
      <w:pPr>
        <w:pStyle w:val="FootnoteText"/>
      </w:pPr>
      <w:r>
        <w:rPr>
          <w:rStyle w:val="FootnoteReference"/>
        </w:rPr>
        <w:footnoteRef/>
      </w:r>
      <w:r>
        <w:t xml:space="preserve"> </w:t>
      </w:r>
      <w:r>
        <w:fldChar w:fldCharType="begin"/>
      </w:r>
      <w:r w:rsidR="003D35B9">
        <w:instrText xml:space="preserve"> ADDIN ZOTERO_ITEM CSL_CITATION {"citationID":"G1LoUbXF","properties":{"formattedCitation":"Michael J. MacDonald, {\\i{}The Oxford Handbook of Rhetorical Studies}, Oxford Handbooks (2014; Online Edition, 2017), 160\\uc0\\u8211{}162.","plainCitation":"Michael J. MacDonald, The Oxford Handbook of Rhetorical Studies, Oxford Handbooks (2014; Online Edition, 2017), 160–162.","noteIndex":15},"citationItems":[{"id":1499,"uris":["http://zotero.org/users/10054786/items/IUFHF9N8"],"itemData":{"id":1499,"type":"book","collection-title":"Oxford Handbooks","edition":"Online Edition","ISBN":"978-0-19-998462-6","note":"original-date: 2014","title":"The Oxford Handbook of Rhetorical Studies","title-short":"Rhetorical Studies","author":[{"family":"MacDonald","given":"Michael J."}],"issued":{"date-parts":[["2017"]]}},"locator":"160–162","label":"page"}],"schema":"https://github.com/citation-style-language/schema/raw/master/csl-citation.json"} </w:instrText>
      </w:r>
      <w:r>
        <w:fldChar w:fldCharType="separate"/>
      </w:r>
      <w:r w:rsidRPr="00F53B56">
        <w:rPr>
          <w:lang w:val="en-GB"/>
        </w:rPr>
        <w:t xml:space="preserve">Michael J. MacDonald, </w:t>
      </w:r>
      <w:r w:rsidRPr="00F53B56">
        <w:rPr>
          <w:i/>
          <w:iCs/>
          <w:lang w:val="en-GB"/>
        </w:rPr>
        <w:t>The Oxford Handbook of Rhetorical Studies</w:t>
      </w:r>
      <w:r w:rsidRPr="00F53B56">
        <w:rPr>
          <w:lang w:val="en-GB"/>
        </w:rPr>
        <w:t>, Oxford Handbooks (2014; Online Edition, 2017), 160–162.</w:t>
      </w:r>
      <w:r>
        <w:fldChar w:fldCharType="end"/>
      </w:r>
    </w:p>
  </w:footnote>
  <w:footnote w:id="16">
    <w:p w14:paraId="7D52CB90" w14:textId="7D6291D6" w:rsidR="00BF537F" w:rsidRDefault="00BF537F">
      <w:pPr>
        <w:pStyle w:val="FootnoteText"/>
      </w:pPr>
      <w:r>
        <w:rPr>
          <w:rStyle w:val="FootnoteReference"/>
        </w:rPr>
        <w:footnoteRef/>
      </w:r>
      <w:r>
        <w:t xml:space="preserve"> </w:t>
      </w:r>
      <w:r>
        <w:fldChar w:fldCharType="begin"/>
      </w:r>
      <w:r w:rsidR="003D35B9">
        <w:instrText xml:space="preserve"> ADDIN ZOTERO_ITEM CSL_CITATION {"citationID":"0gYklWdK","properties":{"formattedCitation":"Edward Schiappa, \\uc0\\u8220{}The Development of Greek Rhetoric,\\uc0\\u8221{} in {\\i{}The Oxford Handbook of Rhetorical Studies}, Online Edition, ed. Michael J. MacDonald, Oxford Handbooks (2014; Online Edition, 2017), 33\\uc0\\u8211{}42; William J. Dominik, \\uc0\\u8220{}The Development of Roman Rhetoric,\\uc0\\u8221{} in {\\i{}The Oxford Handbook of Rhetorical Studies}, Online Edition, ed. Michael J. MacDonald, Oxford Handbooks (2014; Online Edition, 2017).","plainCitation":"Edward Schiappa, “The Development of Greek Rhetoric,” in The Oxford Handbook of Rhetorical Studies, Online Edition, ed. Michael J. MacDonald, Oxford Handbooks (2014; Online Edition, 2017), 33–42; William J. Dominik, “The Development of Roman Rhetoric,” in The Oxford Handbook of Rhetorical Studies, Online Edition, ed. Michael J. MacDonald, Oxford Handbooks (2014; Online Edition, 2017).","noteIndex":16},"citationItems":[{"id":1501,"uris":["http://zotero.org/users/10054786/items/9SBA7F8P"],"itemData":{"id":1501,"type":"chapter","collection-title":"Oxford Handbooks","container-title":"The Oxford Handbook of Rhetorical Studies","edition":"Online Edition","ISBN":"978-0-19-998462-6","note":"original-date: 2014","page":"33–42","title":"The Development of Greek Rhetoric","editor":[{"family":"MacDonald","given":"Michael J."}],"author":[{"family":"Schiappa","given":"Edward"}],"issued":{"date-parts":[["2017"]]}}},{"id":1500,"uris":["http://zotero.org/users/10054786/items/GA3XXVPM"],"itemData":{"id":1500,"type":"chapter","collection-title":"Oxford Handbooks","container-title":"The Oxford Handbook of Rhetorical Studies","edition":"Online Edition","ISBN":"978-0-19-998462-6","note":"original-date: 2014","title":"The Development of Roman Rhetoric","editor":[{"family":"MacDonald","given":"Michael J."}],"author":[{"family":"Dominik","given":"William J."}],"issued":{"date-parts":[["2017"]]}}}],"schema":"https://github.com/citation-style-language/schema/raw/master/csl-citation.json"} </w:instrText>
      </w:r>
      <w:r>
        <w:fldChar w:fldCharType="separate"/>
      </w:r>
      <w:r w:rsidR="009A12DB" w:rsidRPr="009A12DB">
        <w:rPr>
          <w:lang w:val="en-GB"/>
        </w:rPr>
        <w:t xml:space="preserve">Edward Schiappa, “The Development of Greek Rhetoric,” in </w:t>
      </w:r>
      <w:r w:rsidR="009A12DB" w:rsidRPr="009A12DB">
        <w:rPr>
          <w:i/>
          <w:iCs/>
          <w:lang w:val="en-GB"/>
        </w:rPr>
        <w:t>The Oxford Handbook of Rhetorical Studies</w:t>
      </w:r>
      <w:r w:rsidR="009A12DB" w:rsidRPr="009A12DB">
        <w:rPr>
          <w:lang w:val="en-GB"/>
        </w:rPr>
        <w:t xml:space="preserve">, Online Edition, ed. Michael J. MacDonald, Oxford Handbooks (2014; Online Edition, 2017), 33–42; William J. Dominik, “The Development of Roman Rhetoric,” in </w:t>
      </w:r>
      <w:r w:rsidR="009A12DB" w:rsidRPr="009A12DB">
        <w:rPr>
          <w:i/>
          <w:iCs/>
          <w:lang w:val="en-GB"/>
        </w:rPr>
        <w:t>The Oxford Handbook of Rhetorical Studies</w:t>
      </w:r>
      <w:r w:rsidR="009A12DB" w:rsidRPr="009A12DB">
        <w:rPr>
          <w:lang w:val="en-GB"/>
        </w:rPr>
        <w:t>, Online Edition, ed. Michael J. MacDonald, Oxford Handbooks (2014; Online Edition, 2017).</w:t>
      </w:r>
      <w:r>
        <w:fldChar w:fldCharType="end"/>
      </w:r>
    </w:p>
  </w:footnote>
  <w:footnote w:id="17">
    <w:p w14:paraId="7CB24667" w14:textId="0FD73AF1" w:rsidR="00B84E6C" w:rsidRDefault="00B84E6C">
      <w:pPr>
        <w:pStyle w:val="FootnoteText"/>
      </w:pPr>
      <w:r>
        <w:rPr>
          <w:rStyle w:val="FootnoteReference"/>
        </w:rPr>
        <w:footnoteRef/>
      </w:r>
      <w:r>
        <w:t xml:space="preserve"> </w:t>
      </w:r>
      <w:r>
        <w:fldChar w:fldCharType="begin"/>
      </w:r>
      <w:r w:rsidR="003D35B9">
        <w:instrText xml:space="preserve"> ADDIN ZOTERO_ITEM CSL_CITATION {"citationID":"7eUsFyHE","properties":{"formattedCitation":"George Orwell, {\\i{}Animal Farm} (1945; Collins Classics, London, England: William Collins, 2021).","plainCitation":"George Orwell, Animal Farm (1945; Collins Classics, London, England: William Collins, 2021).","noteIndex":17},"citationItems":[{"id":1502,"uris":["http://zotero.org/users/10054786/items/3WX6CZGW"],"itemData":{"id":1502,"type":"book","edition":"Collins Classics","event-place":"London, England","note":"original-date: 1945","publisher":"William Collins","publisher-place":"London, England","title":"Animal Farm","author":[{"family":"Orwell","given":"George"}],"issued":{"date-parts":[["2021"]]}}}],"schema":"https://github.com/citation-style-language/schema/raw/master/csl-citation.json"} </w:instrText>
      </w:r>
      <w:r>
        <w:fldChar w:fldCharType="separate"/>
      </w:r>
      <w:r w:rsidRPr="00B84E6C">
        <w:rPr>
          <w:lang w:val="en-GB"/>
        </w:rPr>
        <w:t xml:space="preserve">George Orwell, </w:t>
      </w:r>
      <w:r w:rsidRPr="00B84E6C">
        <w:rPr>
          <w:i/>
          <w:iCs/>
          <w:lang w:val="en-GB"/>
        </w:rPr>
        <w:t>Animal Farm</w:t>
      </w:r>
      <w:r w:rsidRPr="00B84E6C">
        <w:rPr>
          <w:lang w:val="en-GB"/>
        </w:rPr>
        <w:t xml:space="preserve"> (1945; Collins Classics, London, England: William Collins, 2021).</w:t>
      </w:r>
      <w:r>
        <w:fldChar w:fldCharType="end"/>
      </w:r>
    </w:p>
  </w:footnote>
  <w:footnote w:id="18">
    <w:p w14:paraId="412C32F2" w14:textId="17FED1FD" w:rsidR="006B40AE" w:rsidRDefault="006B40AE">
      <w:pPr>
        <w:pStyle w:val="FootnoteText"/>
      </w:pPr>
      <w:r>
        <w:rPr>
          <w:rStyle w:val="FootnoteReference"/>
        </w:rPr>
        <w:footnoteRef/>
      </w:r>
      <w:r>
        <w:t xml:space="preserve"> </w:t>
      </w:r>
      <w:r>
        <w:fldChar w:fldCharType="begin"/>
      </w:r>
      <w:r w:rsidR="003D35B9">
        <w:instrText xml:space="preserve"> ADDIN ZOTERO_ITEM CSL_CITATION {"citationID":"MgLBQ4hH","properties":{"formattedCitation":"Oxford English Dictionary, {\\i{}Freedom ({\\i0{}n.}), Etymology}, 2025, https://doi.org/10.1093/OED/1165035277.","plainCitation":"Oxford English Dictionary, Freedom (n.), Etymology, 2025, https://doi.org/10.1093/OED/1165035277.","noteIndex":18},"citationItems":[{"id":1515,"uris":["http://zotero.org/users/10054786/items/5HSYX4Z5"],"itemData":{"id":1515,"type":"entry-dictionary","title":"freedom (&lt;i&gt;n.&lt;/i&gt;), Etymology","URL":"https://doi.org/10.1093/OED/1165035277","author":[{"family":"Oxford English Dictionary","given":""}],"issued":{"date-parts":[["2025"]]}}}],"schema":"https://github.com/citation-style-language/schema/raw/master/csl-citation.json"} </w:instrText>
      </w:r>
      <w:r>
        <w:fldChar w:fldCharType="separate"/>
      </w:r>
      <w:r w:rsidRPr="006B40AE">
        <w:rPr>
          <w:lang w:val="en-GB"/>
        </w:rPr>
        <w:t xml:space="preserve">Oxford English Dictionary, </w:t>
      </w:r>
      <w:r w:rsidRPr="006B40AE">
        <w:rPr>
          <w:i/>
          <w:iCs/>
          <w:lang w:val="en-GB"/>
        </w:rPr>
        <w:t>Freedom (</w:t>
      </w:r>
      <w:r w:rsidRPr="006B40AE">
        <w:rPr>
          <w:lang w:val="en-GB"/>
        </w:rPr>
        <w:t>n.</w:t>
      </w:r>
      <w:r w:rsidRPr="006B40AE">
        <w:rPr>
          <w:i/>
          <w:iCs/>
          <w:lang w:val="en-GB"/>
        </w:rPr>
        <w:t>), Etymology</w:t>
      </w:r>
      <w:r w:rsidRPr="006B40AE">
        <w:rPr>
          <w:lang w:val="en-GB"/>
        </w:rPr>
        <w:t>, 2025, https://doi.org/10.1093/OED/1165035277.</w:t>
      </w:r>
      <w:r>
        <w:fldChar w:fldCharType="end"/>
      </w:r>
    </w:p>
  </w:footnote>
  <w:footnote w:id="19">
    <w:p w14:paraId="3349C092" w14:textId="7C387043" w:rsidR="00AE4EBD" w:rsidRDefault="00AE4EBD">
      <w:pPr>
        <w:pStyle w:val="FootnoteText"/>
      </w:pPr>
      <w:r>
        <w:rPr>
          <w:rStyle w:val="FootnoteReference"/>
        </w:rPr>
        <w:footnoteRef/>
      </w:r>
      <w:r>
        <w:t xml:space="preserve"> </w:t>
      </w:r>
      <w:r>
        <w:fldChar w:fldCharType="begin"/>
      </w:r>
      <w:r w:rsidR="003D35B9">
        <w:instrText xml:space="preserve"> ADDIN ZOTERO_ITEM CSL_CITATION {"citationID":"bhjtfNbt","properties":{"formattedCitation":"Barry Schwartz, {\\i{}The Paradox of Choice: Why More Is Less} (New York, NY: Harper Collins, 2005).","plainCitation":"Barry Schwartz, The Paradox of Choice: Why More Is Less (New York, NY: Harper Collins, 2005).","noteIndex":19},"citationItems":[{"id":1516,"uris":["http://zotero.org/users/10054786/items/66GJWYWF"],"itemData":{"id":1516,"type":"book","event-place":"New York, NY","ISBN":"978-0-06-000569-6","publisher":"Harper Collins","publisher-place":"New York, NY","title":"The Paradox of Choice: Why More Is Less","author":[{"family":"Schwartz","given":"Barry"}],"issued":{"date-parts":[["2005"]]}}}],"schema":"https://github.com/citation-style-language/schema/raw/master/csl-citation.json"} </w:instrText>
      </w:r>
      <w:r>
        <w:fldChar w:fldCharType="separate"/>
      </w:r>
      <w:r w:rsidR="00A94716" w:rsidRPr="00A94716">
        <w:rPr>
          <w:lang w:val="en-GB"/>
        </w:rPr>
        <w:t xml:space="preserve">Barry Schwartz, </w:t>
      </w:r>
      <w:r w:rsidR="00A94716" w:rsidRPr="00A94716">
        <w:rPr>
          <w:i/>
          <w:iCs/>
          <w:lang w:val="en-GB"/>
        </w:rPr>
        <w:t>The Paradox of Choice: Why More Is Less</w:t>
      </w:r>
      <w:r w:rsidR="00A94716" w:rsidRPr="00A94716">
        <w:rPr>
          <w:lang w:val="en-GB"/>
        </w:rPr>
        <w:t xml:space="preserve"> (New York, NY: Harper Collins, 2005).</w:t>
      </w:r>
      <w:r>
        <w:fldChar w:fldCharType="end"/>
      </w:r>
    </w:p>
  </w:footnote>
  <w:footnote w:id="20">
    <w:p w14:paraId="5DD2734E" w14:textId="1C1040CB" w:rsidR="000E1DC5" w:rsidRDefault="000E1DC5">
      <w:pPr>
        <w:pStyle w:val="FootnoteText"/>
      </w:pPr>
      <w:r>
        <w:rPr>
          <w:rStyle w:val="FootnoteReference"/>
        </w:rPr>
        <w:footnoteRef/>
      </w:r>
      <w:r>
        <w:t xml:space="preserve"> </w:t>
      </w:r>
      <w:r>
        <w:fldChar w:fldCharType="begin"/>
      </w:r>
      <w:r w:rsidR="00F75CB1">
        <w:instrText xml:space="preserve"> ADDIN ZOTERO_ITEM CSL_CITATION {"citationID":"F0uBdMZ2","properties":{"formattedCitation":"Tyler Stovall, {\\i{}White Freedom: The Racial History of an Idea} (Princeton, NJ: Princeton University Press, 2021), 5.","plainCitation":"Tyler Stovall, White Freedom: The Racial History of an Idea (Princeton, NJ: Princeton University Press, 2021), 5.","noteIndex":20},"citationItems":[{"id":1488,"uris":["http://zotero.org/users/10054786/items/G66D593G"],"itemData":{"id":1488,"type":"book","event-place":"Princeton, NJ","ISBN":"978-0-691-20536-6","publisher":"Princeton University Press","publisher-place":"Princeton, NJ","title":"White Freedom: The Racial History of an Idea","title-short":"White Freedom","author":[{"family":"Stovall","given":"Tyler"}],"issued":{"date-parts":[["2021"]]}},"locator":"5","label":"page"}],"schema":"https://github.com/citation-style-language/schema/raw/master/csl-citation.json"} </w:instrText>
      </w:r>
      <w:r>
        <w:fldChar w:fldCharType="separate"/>
      </w:r>
      <w:r w:rsidRPr="000E1DC5">
        <w:rPr>
          <w:lang w:val="en-GB"/>
        </w:rPr>
        <w:t xml:space="preserve">Tyler Stovall, </w:t>
      </w:r>
      <w:r w:rsidRPr="000E1DC5">
        <w:rPr>
          <w:i/>
          <w:iCs/>
          <w:lang w:val="en-GB"/>
        </w:rPr>
        <w:t>White Freedom: The Racial History of an Idea</w:t>
      </w:r>
      <w:r w:rsidRPr="000E1DC5">
        <w:rPr>
          <w:lang w:val="en-GB"/>
        </w:rPr>
        <w:t xml:space="preserve"> (Princeton, NJ: Princeton University Press, 2021), 5.</w:t>
      </w:r>
      <w:r>
        <w:fldChar w:fldCharType="end"/>
      </w:r>
    </w:p>
  </w:footnote>
  <w:footnote w:id="21">
    <w:p w14:paraId="44274450" w14:textId="3D999266" w:rsidR="00A77DB0" w:rsidRDefault="00A77DB0" w:rsidP="00A77DB0">
      <w:pPr>
        <w:pStyle w:val="FootnoteText"/>
      </w:pPr>
      <w:r>
        <w:rPr>
          <w:rStyle w:val="FootnoteReference"/>
        </w:rPr>
        <w:footnoteRef/>
      </w:r>
      <w:r>
        <w:t xml:space="preserve"> </w:t>
      </w:r>
      <w:r>
        <w:fldChar w:fldCharType="begin"/>
      </w:r>
      <w:r w:rsidR="00F75CB1">
        <w:instrText xml:space="preserve"> ADDIN ZOTERO_ITEM CSL_CITATION {"citationID":"4YLNPC7T","properties":{"formattedCitation":"Stovall, 5.","plainCitation":"Stovall, 5.","noteIndex":21},"citationItems":[{"id":1488,"uris":["http://zotero.org/users/10054786/items/G66D593G"],"itemData":{"id":1488,"type":"book","event-place":"Princeton, NJ","ISBN":"978-0-691-20536-6","publisher":"Princeton University Press","publisher-place":"Princeton, NJ","title":"White Freedom: The Racial History of an Idea","title-short":"White Freedom","author":[{"family":"Stovall","given":"Tyler"}],"issued":{"date-parts":[["2021"]]}},"locator":"5","label":"page"}],"schema":"https://github.com/citation-style-language/schema/raw/master/csl-citation.json"} </w:instrText>
      </w:r>
      <w:r>
        <w:fldChar w:fldCharType="separate"/>
      </w:r>
      <w:r w:rsidR="000E1DC5">
        <w:rPr>
          <w:lang w:val="en-GB"/>
        </w:rPr>
        <w:t>Stovall, 5.</w:t>
      </w:r>
      <w:r>
        <w:fldChar w:fldCharType="end"/>
      </w:r>
    </w:p>
  </w:footnote>
  <w:footnote w:id="22">
    <w:p w14:paraId="32213ECF" w14:textId="73666EB1" w:rsidR="00EC0592" w:rsidRDefault="00EC0592" w:rsidP="00EC0592">
      <w:pPr>
        <w:pStyle w:val="FootnoteText"/>
      </w:pPr>
      <w:r>
        <w:rPr>
          <w:rStyle w:val="FootnoteReference"/>
        </w:rPr>
        <w:footnoteRef/>
      </w:r>
      <w:r>
        <w:t xml:space="preserve"> </w:t>
      </w:r>
      <w:r>
        <w:fldChar w:fldCharType="begin"/>
      </w:r>
      <w:r w:rsidR="003D35B9">
        <w:instrText xml:space="preserve"> ADDIN ZOTERO_ITEM CSL_CITATION {"citationID":"hqBPLnBO","properties":{"formattedCitation":"The Australian Government Solicitor, {\\i{}Australia\\uc0\\u8217{}s Constitution: With Overview and Notes by the Australian Government Solicitor} (Canberra, Australia: The Parliamentary Education Office, 2022), viii; The University of Sydney, {\\i{}Charter of Freedom of Speech and Academic Freedom}, 3.","plainCitation":"The Australian Government Solicitor, Australia’s Constitution: With Overview and Notes by the Australian Government Solicitor (Canberra, Australia: The Parliamentary Education Office, 2022), viii; The University of Sydney, Charter of Freedom of Speech and Academic Freedom, 3.","noteIndex":22},"citationItems":[{"id":1518,"uris":["http://zotero.org/users/10054786/items/UDW8SQJ2"],"itemData":{"id":1518,"type":"report","event-place":"Canberra, Australia","publisher":"The Parliamentary Education Office","publisher-place":"Canberra, Australia","title":"Australia's Constitution: With Overview and Notes by the Australian Government Solicitor","author":[{"family":"The Australian Government Solicitor","given":""}],"issued":{"date-parts":[["2022"]]}},"locator":"viii","label":"page"},{"id":1486,"uris":["http://zotero.org/users/10054786/items/FLMYXHF9"],"itemData":{"id":1486,"type":"report","title":"Charter of Freedom of Speech and Academic Freedom","URL":"https://www.sydney.edu.au/policies/showdoc.aspx?recnum=PDOC2011/64&amp;RendNum=0","author":[{"family":"The University of Sydney","given":""}],"issued":{"date-parts":[["2019"]]}},"locator":"3","label":"page"}],"schema":"https://github.com/citation-style-language/schema/raw/master/csl-citation.json"} </w:instrText>
      </w:r>
      <w:r>
        <w:fldChar w:fldCharType="separate"/>
      </w:r>
      <w:r w:rsidRPr="00124DED">
        <w:rPr>
          <w:lang w:val="en-GB"/>
        </w:rPr>
        <w:t xml:space="preserve">The Australian Government Solicitor, </w:t>
      </w:r>
      <w:r w:rsidRPr="00124DED">
        <w:rPr>
          <w:i/>
          <w:iCs/>
          <w:lang w:val="en-GB"/>
        </w:rPr>
        <w:t>Australia’s Constitution: With Overview and Notes by the Australian Government Solicitor</w:t>
      </w:r>
      <w:r w:rsidRPr="00124DED">
        <w:rPr>
          <w:lang w:val="en-GB"/>
        </w:rPr>
        <w:t xml:space="preserve"> (Canberra, Australia: The Parliamentary Education Office, 2022), viii; The University of Sydney, </w:t>
      </w:r>
      <w:r w:rsidRPr="00124DED">
        <w:rPr>
          <w:i/>
          <w:iCs/>
          <w:lang w:val="en-GB"/>
        </w:rPr>
        <w:t>Charter of Freedom of Speech and Academic Freedom</w:t>
      </w:r>
      <w:r w:rsidRPr="00124DED">
        <w:rPr>
          <w:lang w:val="en-GB"/>
        </w:rPr>
        <w:t>, 3.</w:t>
      </w:r>
      <w:r>
        <w:fldChar w:fldCharType="end"/>
      </w:r>
    </w:p>
  </w:footnote>
  <w:footnote w:id="23">
    <w:p w14:paraId="39A7255A" w14:textId="7F310263" w:rsidR="00087D6F" w:rsidRDefault="00087D6F">
      <w:pPr>
        <w:pStyle w:val="FootnoteText"/>
      </w:pPr>
      <w:r>
        <w:rPr>
          <w:rStyle w:val="FootnoteReference"/>
        </w:rPr>
        <w:footnoteRef/>
      </w:r>
      <w:r>
        <w:t xml:space="preserve"> </w:t>
      </w:r>
      <w:r>
        <w:fldChar w:fldCharType="begin"/>
      </w:r>
      <w:r w:rsidR="003D35B9">
        <w:instrText xml:space="preserve"> ADDIN ZOTERO_ITEM CSL_CITATION {"citationID":"ni7SUwuv","properties":{"formattedCitation":"Samantha Clarke, Rebecca Denham, and Adam Bridgeman, \\uc0\\u8220{}A Snapshot of Student Diversity at Sydney,\\uc0\\u8221{} {\\i{}Teaching@Sydney}, February 14, 2022, https://educational-innovation.sydney.edu.au/teaching@sydney/a-snapshot-of-student-diversity-at-sydney/; Lotte Weber and Simone Maddison, \\uc0\\u8220{}USyd\\uc0\\u8217{}s First in Family: A Seat at the Table (\\uc0\\u8230{}I Mean, Desk),\\uc0\\u8221{} Perspective, {\\i{}Honi Soit} (Sydney, Australia), March 27, 2024, https://honisoit.com/2024/03/usyds-first-in-family-a-seat-at-the-table-i-mean-desk/; The University of Sydney, \\uc0\\u8220{}University of Sydney First Choice for School Leavers in NSW,\\uc0\\u8221{} {\\i{}News and Opinion}, December 8, 2020, https://www.sydney.edu.au/news-opinion/news/2020/12/08/university-of-sydney-first-choice-for-school-leavers-in-nsw.html.","plainCitation":"Samantha Clarke, Rebecca Denham, and Adam Bridgeman, “A Snapshot of Student Diversity at Sydney,” Teaching@Sydney, February 14, 2022, https://educational-innovation.sydney.edu.au/teaching@sydney/a-snapshot-of-student-diversity-at-sydney/; Lotte Weber and Simone Maddison, “USyd’s First in Family: A Seat at the Table (…I Mean, Desk),” Perspective, Honi Soit (Sydney, Australia), March 27, 2024, https://honisoit.com/2024/03/usyds-first-in-family-a-seat-at-the-table-i-mean-desk/; The University of Sydney, “University of Sydney First Choice for School Leavers in NSW,” News and Opinion, December 8, 2020, https://www.sydney.edu.au/news-opinion/news/2020/12/08/university-of-sydney-first-choice-for-school-leavers-in-nsw.html.","noteIndex":23},"citationItems":[{"id":1511,"uris":["http://zotero.org/users/10054786/items/WZ7YR9EL"],"itemData":{"id":1511,"type":"post-weblog","container-title":"Teaching@Sydney","title":"A Snapshot of Student Diversity at Sydney","URL":"https://educational-innovation.sydney.edu.au/teaching@sydney/a-snapshot-of-student-diversity-at-sydney/","author":[{"family":"Clarke","given":"Samantha"},{"family":"Denham","given":"Rebecca"},{"family":"Bridgeman","given":"Adam"}],"issued":{"date-parts":[["2022",2,14]]}}},{"id":1513,"uris":["http://zotero.org/users/10054786/items/ND4UNBW8"],"itemData":{"id":1513,"type":"article-newspaper","container-title":"Honi Soit","event-place":"Sydney, Australia","publisher-place":"Sydney, Australia","section":"Perspective","title":"USyd's First in Family: A Seat at the Table (…I Mean, Desk)","URL":"https://honisoit.com/2024/03/usyds-first-in-family-a-seat-at-the-table-i-mean-desk/","author":[{"family":"Weber","given":"Lotte"},{"family":"Maddison","given":"Simone"}],"issued":{"date-parts":[["2024",3,27]]}}},{"id":1514,"uris":["http://zotero.org/users/10054786/items/T2JK4Z7R"],"itemData":{"id":1514,"type":"post-weblog","container-title":"News and Opinion","title":"University of Sydney First Choice for School Leavers in NSW","URL":"https://www.sydney.edu.au/news-opinion/news/2020/12/08/university-of-sydney-first-choice-for-school-leavers-in-nsw.html","author":[{"family":"The University of Sydney","given":""}],"accessed":{"date-parts":[["2025",8,25]]},"issued":{"date-parts":[["2020",12,8]]}}}],"schema":"https://github.com/citation-style-language/schema/raw/master/csl-citation.json"} </w:instrText>
      </w:r>
      <w:r>
        <w:fldChar w:fldCharType="separate"/>
      </w:r>
      <w:r w:rsidRPr="00087D6F">
        <w:rPr>
          <w:lang w:val="en-GB"/>
        </w:rPr>
        <w:t xml:space="preserve">Samantha Clarke, Rebecca Denham, and Adam Bridgeman, “A Snapshot of Student Diversity at Sydney,” </w:t>
      </w:r>
      <w:r w:rsidRPr="00087D6F">
        <w:rPr>
          <w:i/>
          <w:iCs/>
          <w:lang w:val="en-GB"/>
        </w:rPr>
        <w:t>Teaching@Sydney</w:t>
      </w:r>
      <w:r w:rsidRPr="00087D6F">
        <w:rPr>
          <w:lang w:val="en-GB"/>
        </w:rPr>
        <w:t xml:space="preserve">, February 14, 2022, https://educational-innovation.sydney.edu.au/teaching@sydney/a-snapshot-of-student-diversity-at-sydney/; Lotte Weber and Simone Maddison, “USyd’s First in Family: A Seat at the Table (…I Mean, Desk),” Perspective, </w:t>
      </w:r>
      <w:r w:rsidRPr="00087D6F">
        <w:rPr>
          <w:i/>
          <w:iCs/>
          <w:lang w:val="en-GB"/>
        </w:rPr>
        <w:t>Honi Soit</w:t>
      </w:r>
      <w:r w:rsidRPr="00087D6F">
        <w:rPr>
          <w:lang w:val="en-GB"/>
        </w:rPr>
        <w:t xml:space="preserve"> (Sydney, Australia), March 27, 2024, https://honisoit.com/2024/03/usyds-first-in-family-a-seat-at-the-table-i-mean-desk/; The University of Sydney, “University of Sydney First Choice for School Leavers in NSW,” </w:t>
      </w:r>
      <w:r w:rsidRPr="00087D6F">
        <w:rPr>
          <w:i/>
          <w:iCs/>
          <w:lang w:val="en-GB"/>
        </w:rPr>
        <w:t>News and Opinion</w:t>
      </w:r>
      <w:r w:rsidRPr="00087D6F">
        <w:rPr>
          <w:lang w:val="en-GB"/>
        </w:rPr>
        <w:t>, December 8, 2020, https://www.sydney.edu.au/news-opinion/news/2020/12/08/university-of-sydney-first-choice-for-school-leavers-in-nsw.html.</w:t>
      </w:r>
      <w:r>
        <w:fldChar w:fldCharType="end"/>
      </w:r>
    </w:p>
  </w:footnote>
  <w:footnote w:id="24">
    <w:p w14:paraId="6F345D4D" w14:textId="3BD6BBDA" w:rsidR="007C74D2" w:rsidRDefault="007C74D2">
      <w:pPr>
        <w:pStyle w:val="FootnoteText"/>
      </w:pPr>
      <w:r>
        <w:rPr>
          <w:rStyle w:val="FootnoteReference"/>
        </w:rPr>
        <w:footnoteRef/>
      </w:r>
      <w:r>
        <w:t xml:space="preserve"> </w:t>
      </w:r>
      <w:r>
        <w:fldChar w:fldCharType="begin"/>
      </w:r>
      <w:r w:rsidR="003D35B9">
        <w:instrText xml:space="preserve"> ADDIN ZOTERO_ITEM CSL_CITATION {"citationID":"z34JuEw6","properties":{"formattedCitation":"A. A. Tefera, J. M. Powers, and G. E. Fischman, \\uc0\\u8220{}Intersectionality in Education: A Conceptual Aspiration and Research Imperative,\\uc0\\u8221{} {\\i{}Review of Research in Education} 42, no. 1 (2018): vii\\uc0\\u8211{}xvii, https://doi.org/10.3102/0091732X18768504.","plainCitation":"A. A. Tefera, J. M. Powers, and G. E. Fischman, “Intersectionality in Education: A Conceptual Aspiration and Research Imperative,” Review of Research in Education 42, no. 1 (2018): vii–xvii, https://doi.org/10.3102/0091732X18768504.","noteIndex":24},"citationItems":[{"id":1508,"uris":["http://zotero.org/users/10054786/items/IW7FLL4U"],"itemData":{"id":1508,"type":"article-journal","container-title":"Review of Research in Education","DOI":"https://doi.org/10.3102/0091732X18768504","issue":"1","page":"vii–xvii","title":"Intersectionality in Education: A Conceptual Aspiration and Research Imperative","volume":"42","author":[{"family":"Tefera","given":"A. A."},{"family":"Powers","given":"J. M."},{"family":"Fischman","given":"G. E."}],"issued":{"date-parts":[["2018"]]}}}],"schema":"https://github.com/citation-style-language/schema/raw/master/csl-citation.json"} </w:instrText>
      </w:r>
      <w:r>
        <w:fldChar w:fldCharType="separate"/>
      </w:r>
      <w:r w:rsidRPr="007C74D2">
        <w:rPr>
          <w:lang w:val="en-GB"/>
        </w:rPr>
        <w:t xml:space="preserve">A. A. Tefera, J. M. Powers, and G. E. Fischman, “Intersectionality in Education: A Conceptual Aspiration and Research Imperative,” </w:t>
      </w:r>
      <w:r w:rsidRPr="007C74D2">
        <w:rPr>
          <w:i/>
          <w:iCs/>
          <w:lang w:val="en-GB"/>
        </w:rPr>
        <w:t>Review of Research in Education</w:t>
      </w:r>
      <w:r w:rsidRPr="007C74D2">
        <w:rPr>
          <w:lang w:val="en-GB"/>
        </w:rPr>
        <w:t xml:space="preserve"> 42, no. 1 (2018): vii–xvii, https://doi.org/10.3102/0091732X18768504.</w:t>
      </w:r>
      <w:r>
        <w:fldChar w:fldCharType="end"/>
      </w:r>
    </w:p>
  </w:footnote>
  <w:footnote w:id="25">
    <w:p w14:paraId="7D331BCB" w14:textId="17E3F876" w:rsidR="00CC076B" w:rsidRDefault="00CC076B">
      <w:pPr>
        <w:pStyle w:val="FootnoteText"/>
      </w:pPr>
      <w:r>
        <w:rPr>
          <w:rStyle w:val="FootnoteReference"/>
        </w:rPr>
        <w:footnoteRef/>
      </w:r>
      <w:r>
        <w:t xml:space="preserve"> </w:t>
      </w:r>
      <w:r>
        <w:fldChar w:fldCharType="begin"/>
      </w:r>
      <w:r w:rsidR="00F75CB1">
        <w:instrText xml:space="preserve"> ADDIN ZOTERO_ITEM CSL_CITATION {"citationID":"xXLxUrNU","properties":{"formattedCitation":"Debra Ann Metcalf and Karl Kilian Konrad Wiener, \\uc0\\u8220{}Academic Self-Efficacy in a Twenty-First-Century Australian University: Strategies for First-Generation Students,\\uc0\\u8221{} {\\i{}Higher Education Research &amp; Development} 37, no. 7 (2018): 1472\\uc0\\u8211{}88, https://doi.org/10.1080/07294360.2018.1484705; Carly Steele, Ana Tankosi\\uc0\\u263{}, and Sender Dovchin, \\uc0\\u8220{}English Medium Instruction or Exploitative Models of Income? International Students\\uc0\\u8217{} Experiences of EMI {\\i{}By Default} at an Australian University,\\uc0\\u8221{} {\\i{}Journal of English as a Lingua Franca} 13, no. 1 (2024): 73\\uc0\\u8211{}94, https://doi.org/10.1515/jelf-2024-2011.","plainCitation":"Debra Ann Metcalf and Karl Kilian Konrad Wiener, “Academic Self-Efficacy in a Twenty-First-Century Australian University: Strategies for First-Generation Students,” Higher Education Research &amp; Development 37, no. 7 (2018): 1472–88, https://doi.org/10.1080/07294360.2018.1484705; Carly Steele, Ana Tankosić, and Sender Dovchin, “English Medium Instruction or Exploitative Models of Income? International Students’ Experiences of EMI By Default at an Australian University,” Journal of English as a Lingua Franca 13, no. 1 (2024): 73–94, https://doi.org/10.1515/jelf-2024-2011.","noteIndex":25},"citationItems":[{"id":1505,"uris":["http://zotero.org/users/10054786/items/CKLS9DWU"],"itemData":{"id":1505,"type":"article-journal","container-title":"Higher Education Research &amp; Development","DOI":"https://doi.org/10.1080/07294360.2018.1484705","issue":"7","journalAbbreviation":"HERD","page":"1472–1488","title":"Academic Self-Efficacy in a Twenty-First-Century Australian University: Strategies for First-Generation Students","title-short":"Academic Self-Efficacy","volume":"37","author":[{"family":"Metcalf","given":"Debra Ann"},{"family":"Wiener","given":"Karl Kilian Konrad"}],"issued":{"date-parts":[["2018"]]}}},{"id":1506,"uris":["http://zotero.org/users/10054786/items/YQTJ95JL"],"itemData":{"id":1506,"type":"article-journal","container-title":"Journal of English as a Lingua Franca","DOI":"10.1515/jelf-2024-2011","issue":"1","journalAbbreviation":"JELF","page":"73–94","title":"English Medium Instruction or Exploitative Models of Income? International Students' Experiences of EMI &lt;i&gt;By Default&lt;/i&gt; at an Australian University","title-short":"International Students' Experiences of EMI","volume":"13","author":[{"family":"Steele","given":"Carly"},{"family":"Tankosić","given":"Ana"},{"family":"Dovchin","given":"Sender"}],"issued":{"date-parts":[["2024"]]}}}],"schema":"https://github.com/citation-style-language/schema/raw/master/csl-citation.json"} </w:instrText>
      </w:r>
      <w:r>
        <w:fldChar w:fldCharType="separate"/>
      </w:r>
      <w:r w:rsidR="006A0858" w:rsidRPr="006A0858">
        <w:rPr>
          <w:lang w:val="en-GB"/>
        </w:rPr>
        <w:t xml:space="preserve">Debra Ann Metcalf and Karl Kilian Konrad Wiener, “Academic Self-Efficacy in a Twenty-First-Century Australian University: Strategies for First-Generation Students,” </w:t>
      </w:r>
      <w:r w:rsidR="006A0858" w:rsidRPr="006A0858">
        <w:rPr>
          <w:i/>
          <w:iCs/>
          <w:lang w:val="en-GB"/>
        </w:rPr>
        <w:t>Higher Education Research &amp; Development</w:t>
      </w:r>
      <w:r w:rsidR="006A0858" w:rsidRPr="006A0858">
        <w:rPr>
          <w:lang w:val="en-GB"/>
        </w:rPr>
        <w:t xml:space="preserve"> 37, no. 7 (2018): 1472–88, https://doi.org/10.1080/07294360.2018.1484705; Carly Steele, Ana Tankosić, and Sender Dovchin, “English Medium Instruction or Exploitative Models of Income? International Students’ Experiences of EMI </w:t>
      </w:r>
      <w:r w:rsidR="006A0858" w:rsidRPr="006A0858">
        <w:rPr>
          <w:i/>
          <w:iCs/>
          <w:lang w:val="en-GB"/>
        </w:rPr>
        <w:t>By Default</w:t>
      </w:r>
      <w:r w:rsidR="006A0858" w:rsidRPr="006A0858">
        <w:rPr>
          <w:lang w:val="en-GB"/>
        </w:rPr>
        <w:t xml:space="preserve"> at an Australian University,” </w:t>
      </w:r>
      <w:r w:rsidR="006A0858" w:rsidRPr="006A0858">
        <w:rPr>
          <w:i/>
          <w:iCs/>
          <w:lang w:val="en-GB"/>
        </w:rPr>
        <w:t>Journal of English as a Lingua Franca</w:t>
      </w:r>
      <w:r w:rsidR="006A0858" w:rsidRPr="006A0858">
        <w:rPr>
          <w:lang w:val="en-GB"/>
        </w:rPr>
        <w:t xml:space="preserve"> 13, no. 1 (2024): 73–94, https://doi.org/10.1515/jelf-2024-2011.</w:t>
      </w:r>
      <w:r>
        <w:fldChar w:fldCharType="end"/>
      </w:r>
    </w:p>
  </w:footnote>
  <w:footnote w:id="26">
    <w:p w14:paraId="7F9ECA0A" w14:textId="24C17829" w:rsidR="00014766" w:rsidRDefault="00014766">
      <w:pPr>
        <w:pStyle w:val="FootnoteText"/>
      </w:pPr>
      <w:r>
        <w:rPr>
          <w:rStyle w:val="FootnoteReference"/>
        </w:rPr>
        <w:footnoteRef/>
      </w:r>
      <w:r>
        <w:t xml:space="preserve"> </w:t>
      </w:r>
      <w:r>
        <w:fldChar w:fldCharType="begin"/>
      </w:r>
      <w:r w:rsidR="00F75CB1">
        <w:instrText xml:space="preserve"> ADDIN ZOTERO_ITEM CSL_CITATION {"citationID":"FncNZIg9","properties":{"formattedCitation":"Metcalf and Wiener, \\uc0\\u8220{}Academic Self-Efficacy,\\uc0\\u8221{} 1484.","plainCitation":"Metcalf and Wiener, “Academic Self-Efficacy,” 1484.","noteIndex":26},"citationItems":[{"id":1505,"uris":["http://zotero.org/users/10054786/items/CKLS9DWU"],"itemData":{"id":1505,"type":"article-journal","container-title":"Higher Education Research &amp; Development","DOI":"https://doi.org/10.1080/07294360.2018.1484705","issue":"7","journalAbbreviation":"HERD","page":"1472–1488","title":"Academic Self-Efficacy in a Twenty-First-Century Australian University: Strategies for First-Generation Students","title-short":"Academic Self-Efficacy","volume":"37","author":[{"family":"Metcalf","given":"Debra Ann"},{"family":"Wiener","given":"Karl Kilian Konrad"}],"issued":{"date-parts":[["2018"]]}},"locator":"1484","label":"page"}],"schema":"https://github.com/citation-style-language/schema/raw/master/csl-citation.json"} </w:instrText>
      </w:r>
      <w:r>
        <w:fldChar w:fldCharType="separate"/>
      </w:r>
      <w:r w:rsidRPr="00014766">
        <w:rPr>
          <w:lang w:val="en-GB"/>
        </w:rPr>
        <w:t>Metcalf and Wiener, “Academic Self-Efficacy,” 1484.</w:t>
      </w:r>
      <w:r>
        <w:fldChar w:fldCharType="end"/>
      </w:r>
    </w:p>
  </w:footnote>
  <w:footnote w:id="27">
    <w:p w14:paraId="3D928817" w14:textId="08371853" w:rsidR="001F5ABE" w:rsidRDefault="001F5ABE">
      <w:pPr>
        <w:pStyle w:val="FootnoteText"/>
      </w:pPr>
      <w:r>
        <w:rPr>
          <w:rStyle w:val="FootnoteReference"/>
        </w:rPr>
        <w:footnoteRef/>
      </w:r>
      <w:r>
        <w:t xml:space="preserve"> </w:t>
      </w:r>
      <w:r>
        <w:fldChar w:fldCharType="begin"/>
      </w:r>
      <w:r w:rsidR="00F75CB1">
        <w:instrText xml:space="preserve"> ADDIN ZOTERO_ITEM CSL_CITATION {"citationID":"sJ77NQsn","properties":{"formattedCitation":"Steele, Tankosi\\uc0\\u263{}, and Dovchin, \\uc0\\u8220{}International Students\\uc0\\u8217{} Experiences of EMI,\\uc0\\u8221{} 88.","plainCitation":"Steele, Tankosić, and Dovchin, “International Students’ Experiences of EMI,” 88.","noteIndex":27},"citationItems":[{"id":1506,"uris":["http://zotero.org/users/10054786/items/YQTJ95JL"],"itemData":{"id":1506,"type":"article-journal","container-title":"Journal of English as a Lingua Franca","DOI":"10.1515/jelf-2024-2011","issue":"1","journalAbbreviation":"JELF","page":"73–94","title":"English Medium Instruction or Exploitative Models of Income? International Students' Experiences of EMI &lt;i&gt;By Default&lt;/i&gt; at an Australian University","title-short":"International Students' Experiences of EMI","volume":"13","author":[{"family":"Steele","given":"Carly"},{"family":"Tankosić","given":"Ana"},{"family":"Dovchin","given":"Sender"}],"issued":{"date-parts":[["2024"]]}},"locator":"88","label":"page"}],"schema":"https://github.com/citation-style-language/schema/raw/master/csl-citation.json"} </w:instrText>
      </w:r>
      <w:r>
        <w:fldChar w:fldCharType="separate"/>
      </w:r>
      <w:r w:rsidR="00834D33" w:rsidRPr="00834D33">
        <w:rPr>
          <w:lang w:val="en-GB"/>
        </w:rPr>
        <w:t>Steele, Tankosić, and Dovchin, “International Students’ Experiences of EMI,” 88.</w:t>
      </w:r>
      <w:r>
        <w:fldChar w:fldCharType="end"/>
      </w:r>
    </w:p>
  </w:footnote>
  <w:footnote w:id="28">
    <w:p w14:paraId="7A03BD23" w14:textId="2AC44079" w:rsidR="00592953" w:rsidRDefault="00592953" w:rsidP="00592953">
      <w:pPr>
        <w:pStyle w:val="FootnoteText"/>
      </w:pPr>
      <w:r>
        <w:rPr>
          <w:rStyle w:val="FootnoteReference"/>
        </w:rPr>
        <w:footnoteRef/>
      </w:r>
      <w:r>
        <w:t xml:space="preserve"> </w:t>
      </w:r>
      <w:r>
        <w:fldChar w:fldCharType="begin"/>
      </w:r>
      <w:r w:rsidR="00F75CB1">
        <w:instrText xml:space="preserve"> ADDIN ZOTERO_ITEM CSL_CITATION {"citationID":"NH2jlLqo","properties":{"formattedCitation":"Steele, Tankosi\\uc0\\u263{}, and Dovchin, 77\\uc0\\u8211{}78; The University of Sydney, {\\i{}Charter of Freedom of Speech and Academic Freedom}, 2.","plainCitation":"Steele, Tankosić, and Dovchin, 77–78; The University of Sydney, Charter of Freedom of Speech and Academic Freedom, 2.","noteIndex":28},"citationItems":[{"id":1506,"uris":["http://zotero.org/users/10054786/items/YQTJ95JL"],"itemData":{"id":1506,"type":"article-journal","container-title":"Journal of English as a Lingua Franca","DOI":"10.1515/jelf-2024-2011","issue":"1","journalAbbreviation":"JELF","page":"73–94","title":"English Medium Instruction or Exploitative Models of Income? International Students' Experiences of EMI &lt;i&gt;By Default&lt;/i&gt; at an Australian University","title-short":"International Students' Experiences of EMI","volume":"13","author":[{"family":"Steele","given":"Carly"},{"family":"Tankosić","given":"Ana"},{"family":"Dovchin","given":"Sender"}],"issued":{"date-parts":[["2024"]]}},"locator":"77–78","label":"page"},{"id":1486,"uris":["http://zotero.org/users/10054786/items/FLMYXHF9"],"itemData":{"id":1486,"type":"report","title":"Charter of Freedom of Speech and Academic Freedom","URL":"https://www.sydney.edu.au/policies/showdoc.aspx?recnum=PDOC2011/64&amp;RendNum=0","author":[{"family":"The University of Sydney","given":""}],"issued":{"date-parts":[["2019"]]}},"locator":"2","label":"page"}],"schema":"https://github.com/citation-style-language/schema/raw/master/csl-citation.json"} </w:instrText>
      </w:r>
      <w:r>
        <w:fldChar w:fldCharType="separate"/>
      </w:r>
      <w:r w:rsidRPr="009F4B6C">
        <w:rPr>
          <w:lang w:val="en-GB"/>
        </w:rPr>
        <w:t xml:space="preserve">Steele, Tankosić, and Dovchin, 77–78; The University of Sydney, </w:t>
      </w:r>
      <w:r w:rsidRPr="009F4B6C">
        <w:rPr>
          <w:i/>
          <w:iCs/>
          <w:lang w:val="en-GB"/>
        </w:rPr>
        <w:t>Charter of Freedom of Speech and Academic Freedom</w:t>
      </w:r>
      <w:r w:rsidRPr="009F4B6C">
        <w:rPr>
          <w:lang w:val="en-GB"/>
        </w:rPr>
        <w:t>, 2.</w:t>
      </w:r>
      <w:r>
        <w:fldChar w:fldCharType="end"/>
      </w:r>
    </w:p>
  </w:footnote>
  <w:footnote w:id="29">
    <w:p w14:paraId="6A804DE6" w14:textId="598C97E3" w:rsidR="009C7EC7" w:rsidRDefault="009C7EC7">
      <w:pPr>
        <w:pStyle w:val="FootnoteText"/>
      </w:pPr>
      <w:r>
        <w:rPr>
          <w:rStyle w:val="FootnoteReference"/>
        </w:rPr>
        <w:footnoteRef/>
      </w:r>
      <w:r>
        <w:t xml:space="preserve"> </w:t>
      </w:r>
      <w:r>
        <w:fldChar w:fldCharType="begin"/>
      </w:r>
      <w:r w:rsidR="00F75CB1">
        <w:instrText xml:space="preserve"> ADDIN ZOTERO_ITEM CSL_CITATION {"citationID":"fzmxnuzk","properties":{"formattedCitation":"Steele, Tankosi\\uc0\\u263{}, and Dovchin, \\uc0\\u8220{}International Students\\uc0\\u8217{} Experiences of EMI,\\uc0\\u8221{} 87.","plainCitation":"Steele, Tankosić, and Dovchin, “International Students’ Experiences of EMI,” 87.","noteIndex":29},"citationItems":[{"id":1506,"uris":["http://zotero.org/users/10054786/items/YQTJ95JL"],"itemData":{"id":1506,"type":"article-journal","container-title":"Journal of English as a Lingua Franca","DOI":"10.1515/jelf-2024-2011","issue":"1","journalAbbreviation":"JELF","page":"73–94","title":"English Medium Instruction or Exploitative Models of Income? International Students' Experiences of EMI &lt;i&gt;By Default&lt;/i&gt; at an Australian University","title-short":"International Students' Experiences of EMI","volume":"13","author":[{"family":"Steele","given":"Carly"},{"family":"Tankosić","given":"Ana"},{"family":"Dovchin","given":"Sender"}],"issued":{"date-parts":[["2024"]]}},"locator":"87","label":"page"}],"schema":"https://github.com/citation-style-language/schema/raw/master/csl-citation.json"} </w:instrText>
      </w:r>
      <w:r>
        <w:fldChar w:fldCharType="separate"/>
      </w:r>
      <w:r w:rsidRPr="009C7EC7">
        <w:rPr>
          <w:lang w:val="en-GB"/>
        </w:rPr>
        <w:t>Steele, Tankosić, and Dovchin, “International Students’ Experiences of EMI,” 87.</w:t>
      </w:r>
      <w:r>
        <w:fldChar w:fldCharType="end"/>
      </w:r>
    </w:p>
  </w:footnote>
  <w:footnote w:id="30">
    <w:p w14:paraId="2BC9E9AD" w14:textId="5A9A5DAA" w:rsidR="00483F64" w:rsidRDefault="00483F64">
      <w:pPr>
        <w:pStyle w:val="FootnoteText"/>
      </w:pPr>
      <w:r>
        <w:rPr>
          <w:rStyle w:val="FootnoteReference"/>
        </w:rPr>
        <w:footnoteRef/>
      </w:r>
      <w:r>
        <w:t xml:space="preserve"> </w:t>
      </w:r>
      <w:r>
        <w:fldChar w:fldCharType="begin"/>
      </w:r>
      <w:r w:rsidR="00F75CB1">
        <w:instrText xml:space="preserve"> ADDIN ZOTERO_ITEM CSL_CITATION {"citationID":"ITj5S3lZ","properties":{"formattedCitation":"Lake et al., \\uc0\\u8220{}A Brief History of Australian Universities,\\uc0\\u8221{} 8\\uc0\\u8211{}9.","plainCitation":"Lake et al., “A Brief History of Australian Universities,” 8–9.","noteIndex":30},"citationItems":[{"id":1522,"uris":["http://zotero.org/users/10054786/items/FNZJJ84X"],"itemData":{"id":1522,"type":"article-journal","container-title":"Social Alternatives","issue":"1","page":"8–16","title":"A Brief History of Australian Universities","volume":"41","author":[{"family":"Lake","given":"Stephen"},{"family":"Joannes-Boyau","given":"Renaud"},{"family":"Lucas","given":"Adam"},{"family":"McCallum","given":"Adrian"},{"family":"O'Connor","given":"Justin"},{"family":"Pelizzon","given":"Alessandro"},{"family":"Tregear","given":"Peter"},{"family":"Vodeb","given":"Oliver"}],"issued":{"date-parts":[["2022"]]}},"locator":"8–9","label":"page"}],"schema":"https://github.com/citation-style-language/schema/raw/master/csl-citation.json"} </w:instrText>
      </w:r>
      <w:r>
        <w:fldChar w:fldCharType="separate"/>
      </w:r>
      <w:r w:rsidR="00916295" w:rsidRPr="00916295">
        <w:rPr>
          <w:lang w:val="en-GB"/>
        </w:rPr>
        <w:t>Lake et al., “A Brief History of Australian Universities,” 8–9.</w:t>
      </w:r>
      <w:r>
        <w:fldChar w:fldCharType="end"/>
      </w:r>
    </w:p>
  </w:footnote>
  <w:footnote w:id="31">
    <w:p w14:paraId="490FB542" w14:textId="752B0177" w:rsidR="00BD6994" w:rsidRDefault="00BD6994">
      <w:pPr>
        <w:pStyle w:val="FootnoteText"/>
      </w:pPr>
      <w:r>
        <w:rPr>
          <w:rStyle w:val="FootnoteReference"/>
        </w:rPr>
        <w:footnoteRef/>
      </w:r>
      <w:r>
        <w:t xml:space="preserve"> </w:t>
      </w:r>
      <w:r>
        <w:fldChar w:fldCharType="begin"/>
      </w:r>
      <w:r w:rsidR="003D35B9">
        <w:instrText xml:space="preserve"> ADDIN ZOTERO_ITEM CSL_CITATION {"citationID":"KWy2Tg7U","properties":{"formattedCitation":"Jack Thrower, {\\i{}University Is Expensive} (Canberra, Australia: The Australia Institute, 2024), 4\\uc0\\u8211{}7, https://australiainstitute.org.au/wp-content/uploads/2024/11/P1736-University-is-expensive-Web-1.pdf.","plainCitation":"Jack Thrower, University Is Expensive (Canberra, Australia: The Australia Institute, 2024), 4–7, https://australiainstitute.org.au/wp-content/uploads/2024/11/P1736-University-is-expensive-Web-1.pdf.","noteIndex":31},"citationItems":[{"id":1520,"uris":["http://zotero.org/users/10054786/items/HGZH3GPK"],"itemData":{"id":1520,"type":"report","event-place":"Canberra, Australia","publisher":"The Australia Institute","publisher-place":"Canberra, Australia","title":"University is Expensive","URL":"https://australiainstitute.org.au/wp-content/uploads/2024/11/P1736-University-is-expensive-Web-1.pdf","author":[{"family":"Thrower","given":"Jack"}],"issued":{"date-parts":[["2024"]]}},"locator":"4–7","label":"page"}],"schema":"https://github.com/citation-style-language/schema/raw/master/csl-citation.json"} </w:instrText>
      </w:r>
      <w:r>
        <w:fldChar w:fldCharType="separate"/>
      </w:r>
      <w:r w:rsidR="007A4C13" w:rsidRPr="007A4C13">
        <w:rPr>
          <w:lang w:val="en-GB"/>
        </w:rPr>
        <w:t xml:space="preserve">Jack Thrower, </w:t>
      </w:r>
      <w:r w:rsidR="007A4C13" w:rsidRPr="007A4C13">
        <w:rPr>
          <w:i/>
          <w:iCs/>
          <w:lang w:val="en-GB"/>
        </w:rPr>
        <w:t>University Is Expensive</w:t>
      </w:r>
      <w:r w:rsidR="007A4C13" w:rsidRPr="007A4C13">
        <w:rPr>
          <w:lang w:val="en-GB"/>
        </w:rPr>
        <w:t xml:space="preserve"> (Canberra, Australia: The Australia Institute, 2024), 4–7, https://australiainstitute.org.au/wp-content/uploads/2024/11/P1736-University-is-expensive-Web-1.pdf.</w:t>
      </w:r>
      <w:r>
        <w:fldChar w:fldCharType="end"/>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5035480"/>
    <w:multiLevelType w:val="hybridMultilevel"/>
    <w:tmpl w:val="54FEEA1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305C73AC"/>
    <w:multiLevelType w:val="hybridMultilevel"/>
    <w:tmpl w:val="B67E90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3D401E0"/>
    <w:multiLevelType w:val="hybridMultilevel"/>
    <w:tmpl w:val="2F565EA4"/>
    <w:lvl w:ilvl="0" w:tplc="C616BB04">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5CBE32AD"/>
    <w:multiLevelType w:val="hybridMultilevel"/>
    <w:tmpl w:val="9F9CA4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981159191">
    <w:abstractNumId w:val="0"/>
  </w:num>
  <w:num w:numId="2" w16cid:durableId="809059049">
    <w:abstractNumId w:val="1"/>
  </w:num>
  <w:num w:numId="3" w16cid:durableId="244385771">
    <w:abstractNumId w:val="2"/>
  </w:num>
  <w:num w:numId="4" w16cid:durableId="157917301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71310"/>
    <w:rsid w:val="00010D0B"/>
    <w:rsid w:val="00014766"/>
    <w:rsid w:val="000149A4"/>
    <w:rsid w:val="00015A7B"/>
    <w:rsid w:val="00021101"/>
    <w:rsid w:val="00021AD8"/>
    <w:rsid w:val="0002249D"/>
    <w:rsid w:val="00024FE3"/>
    <w:rsid w:val="0002635E"/>
    <w:rsid w:val="00026A0A"/>
    <w:rsid w:val="000272C1"/>
    <w:rsid w:val="00030C32"/>
    <w:rsid w:val="0003218E"/>
    <w:rsid w:val="000369A7"/>
    <w:rsid w:val="00041BE8"/>
    <w:rsid w:val="00042513"/>
    <w:rsid w:val="00042B34"/>
    <w:rsid w:val="00051E4A"/>
    <w:rsid w:val="00052172"/>
    <w:rsid w:val="000534B6"/>
    <w:rsid w:val="00053ED9"/>
    <w:rsid w:val="00056677"/>
    <w:rsid w:val="00056E7E"/>
    <w:rsid w:val="000647C7"/>
    <w:rsid w:val="000716A5"/>
    <w:rsid w:val="00073090"/>
    <w:rsid w:val="00075985"/>
    <w:rsid w:val="00075F13"/>
    <w:rsid w:val="000764CF"/>
    <w:rsid w:val="00076C86"/>
    <w:rsid w:val="00080AA8"/>
    <w:rsid w:val="000841D8"/>
    <w:rsid w:val="00086193"/>
    <w:rsid w:val="00086F99"/>
    <w:rsid w:val="00087D6F"/>
    <w:rsid w:val="000907D3"/>
    <w:rsid w:val="00090D67"/>
    <w:rsid w:val="00093E07"/>
    <w:rsid w:val="00097C39"/>
    <w:rsid w:val="00097E1B"/>
    <w:rsid w:val="000A0813"/>
    <w:rsid w:val="000A2127"/>
    <w:rsid w:val="000A2391"/>
    <w:rsid w:val="000A2891"/>
    <w:rsid w:val="000A2B0C"/>
    <w:rsid w:val="000A30D1"/>
    <w:rsid w:val="000A3C48"/>
    <w:rsid w:val="000A5441"/>
    <w:rsid w:val="000A5D2F"/>
    <w:rsid w:val="000A6C0C"/>
    <w:rsid w:val="000B162F"/>
    <w:rsid w:val="000B175B"/>
    <w:rsid w:val="000B219E"/>
    <w:rsid w:val="000B4832"/>
    <w:rsid w:val="000B4C70"/>
    <w:rsid w:val="000B66E6"/>
    <w:rsid w:val="000C2C3B"/>
    <w:rsid w:val="000C578D"/>
    <w:rsid w:val="000D5E49"/>
    <w:rsid w:val="000D7D2C"/>
    <w:rsid w:val="000E1DC5"/>
    <w:rsid w:val="000E3BC1"/>
    <w:rsid w:val="000E4FDB"/>
    <w:rsid w:val="000E648E"/>
    <w:rsid w:val="000F04AB"/>
    <w:rsid w:val="000F6F05"/>
    <w:rsid w:val="00101F4D"/>
    <w:rsid w:val="001022FB"/>
    <w:rsid w:val="00103529"/>
    <w:rsid w:val="0010383C"/>
    <w:rsid w:val="0010644D"/>
    <w:rsid w:val="001105AE"/>
    <w:rsid w:val="00112069"/>
    <w:rsid w:val="00112FF5"/>
    <w:rsid w:val="0011446C"/>
    <w:rsid w:val="001155C7"/>
    <w:rsid w:val="00115AEC"/>
    <w:rsid w:val="001173C6"/>
    <w:rsid w:val="0012173E"/>
    <w:rsid w:val="00122A99"/>
    <w:rsid w:val="00124DED"/>
    <w:rsid w:val="00125EF1"/>
    <w:rsid w:val="001262BD"/>
    <w:rsid w:val="001279D2"/>
    <w:rsid w:val="00130124"/>
    <w:rsid w:val="001308B5"/>
    <w:rsid w:val="0014008B"/>
    <w:rsid w:val="00140E76"/>
    <w:rsid w:val="00141D3F"/>
    <w:rsid w:val="00143852"/>
    <w:rsid w:val="00145E7C"/>
    <w:rsid w:val="00145F16"/>
    <w:rsid w:val="00147488"/>
    <w:rsid w:val="00151B6A"/>
    <w:rsid w:val="00152158"/>
    <w:rsid w:val="00153598"/>
    <w:rsid w:val="00153D94"/>
    <w:rsid w:val="00156726"/>
    <w:rsid w:val="00160BB2"/>
    <w:rsid w:val="00161AFE"/>
    <w:rsid w:val="0016252C"/>
    <w:rsid w:val="00164023"/>
    <w:rsid w:val="001671D2"/>
    <w:rsid w:val="0017073F"/>
    <w:rsid w:val="001717B9"/>
    <w:rsid w:val="00172474"/>
    <w:rsid w:val="00173BF2"/>
    <w:rsid w:val="00176B4F"/>
    <w:rsid w:val="00180166"/>
    <w:rsid w:val="001808F8"/>
    <w:rsid w:val="001914A3"/>
    <w:rsid w:val="00193B73"/>
    <w:rsid w:val="00194F4C"/>
    <w:rsid w:val="001A02B1"/>
    <w:rsid w:val="001A081F"/>
    <w:rsid w:val="001A3FC3"/>
    <w:rsid w:val="001A78AD"/>
    <w:rsid w:val="001A7B3E"/>
    <w:rsid w:val="001B07AD"/>
    <w:rsid w:val="001B2FCE"/>
    <w:rsid w:val="001B52A8"/>
    <w:rsid w:val="001C3C27"/>
    <w:rsid w:val="001C5027"/>
    <w:rsid w:val="001C5284"/>
    <w:rsid w:val="001C70EF"/>
    <w:rsid w:val="001C759E"/>
    <w:rsid w:val="001C7ABF"/>
    <w:rsid w:val="001D6D5C"/>
    <w:rsid w:val="001E05BC"/>
    <w:rsid w:val="001E0783"/>
    <w:rsid w:val="001E084C"/>
    <w:rsid w:val="001E251A"/>
    <w:rsid w:val="001E4EF8"/>
    <w:rsid w:val="001E7AC6"/>
    <w:rsid w:val="001E7B08"/>
    <w:rsid w:val="001F07D7"/>
    <w:rsid w:val="001F1594"/>
    <w:rsid w:val="001F5ABE"/>
    <w:rsid w:val="0020086B"/>
    <w:rsid w:val="00202953"/>
    <w:rsid w:val="002042A9"/>
    <w:rsid w:val="002047B3"/>
    <w:rsid w:val="00205152"/>
    <w:rsid w:val="00205740"/>
    <w:rsid w:val="002075B6"/>
    <w:rsid w:val="00211785"/>
    <w:rsid w:val="00213D6F"/>
    <w:rsid w:val="00214CD8"/>
    <w:rsid w:val="00223744"/>
    <w:rsid w:val="00223773"/>
    <w:rsid w:val="00226A9B"/>
    <w:rsid w:val="00230F97"/>
    <w:rsid w:val="0023113C"/>
    <w:rsid w:val="002327E5"/>
    <w:rsid w:val="0023355F"/>
    <w:rsid w:val="002352B5"/>
    <w:rsid w:val="0023671B"/>
    <w:rsid w:val="002466CC"/>
    <w:rsid w:val="0024783C"/>
    <w:rsid w:val="00252B7D"/>
    <w:rsid w:val="00255761"/>
    <w:rsid w:val="002563B5"/>
    <w:rsid w:val="00256818"/>
    <w:rsid w:val="00257E10"/>
    <w:rsid w:val="0026028E"/>
    <w:rsid w:val="002610F0"/>
    <w:rsid w:val="00261751"/>
    <w:rsid w:val="002652B4"/>
    <w:rsid w:val="0026625C"/>
    <w:rsid w:val="00276511"/>
    <w:rsid w:val="0028143D"/>
    <w:rsid w:val="00282DF9"/>
    <w:rsid w:val="0028374F"/>
    <w:rsid w:val="0028506D"/>
    <w:rsid w:val="00287F56"/>
    <w:rsid w:val="00292EF7"/>
    <w:rsid w:val="0029609B"/>
    <w:rsid w:val="002A2004"/>
    <w:rsid w:val="002A503F"/>
    <w:rsid w:val="002A7ED2"/>
    <w:rsid w:val="002B6D9C"/>
    <w:rsid w:val="002B7B8C"/>
    <w:rsid w:val="002C34AD"/>
    <w:rsid w:val="002D1650"/>
    <w:rsid w:val="002D2D37"/>
    <w:rsid w:val="002D4511"/>
    <w:rsid w:val="002D5B45"/>
    <w:rsid w:val="002D759F"/>
    <w:rsid w:val="002D7616"/>
    <w:rsid w:val="002E0343"/>
    <w:rsid w:val="002E0E6B"/>
    <w:rsid w:val="002E371A"/>
    <w:rsid w:val="002E3ED7"/>
    <w:rsid w:val="002E43EE"/>
    <w:rsid w:val="002E5CBF"/>
    <w:rsid w:val="002F4E92"/>
    <w:rsid w:val="00300317"/>
    <w:rsid w:val="00302CE6"/>
    <w:rsid w:val="003037D2"/>
    <w:rsid w:val="003103D5"/>
    <w:rsid w:val="0031221B"/>
    <w:rsid w:val="00313145"/>
    <w:rsid w:val="00313B1A"/>
    <w:rsid w:val="00314208"/>
    <w:rsid w:val="00317024"/>
    <w:rsid w:val="00321276"/>
    <w:rsid w:val="00323B6E"/>
    <w:rsid w:val="00325EA1"/>
    <w:rsid w:val="00327198"/>
    <w:rsid w:val="0032791E"/>
    <w:rsid w:val="003300EB"/>
    <w:rsid w:val="00333169"/>
    <w:rsid w:val="0033643E"/>
    <w:rsid w:val="003408EB"/>
    <w:rsid w:val="00343A1F"/>
    <w:rsid w:val="003440D0"/>
    <w:rsid w:val="003444C5"/>
    <w:rsid w:val="00345B42"/>
    <w:rsid w:val="00345C25"/>
    <w:rsid w:val="0034612A"/>
    <w:rsid w:val="00347D0E"/>
    <w:rsid w:val="003508FB"/>
    <w:rsid w:val="00352D3D"/>
    <w:rsid w:val="003560CA"/>
    <w:rsid w:val="00356A2F"/>
    <w:rsid w:val="00360C05"/>
    <w:rsid w:val="003612CC"/>
    <w:rsid w:val="00365289"/>
    <w:rsid w:val="003665AB"/>
    <w:rsid w:val="00366F22"/>
    <w:rsid w:val="003703FB"/>
    <w:rsid w:val="00370C84"/>
    <w:rsid w:val="003746B8"/>
    <w:rsid w:val="00375F87"/>
    <w:rsid w:val="00377D8C"/>
    <w:rsid w:val="00381F43"/>
    <w:rsid w:val="00382BFB"/>
    <w:rsid w:val="00383FA9"/>
    <w:rsid w:val="00385FFD"/>
    <w:rsid w:val="00393946"/>
    <w:rsid w:val="00393CE6"/>
    <w:rsid w:val="00394B98"/>
    <w:rsid w:val="00395088"/>
    <w:rsid w:val="00395911"/>
    <w:rsid w:val="003A2052"/>
    <w:rsid w:val="003A5A1D"/>
    <w:rsid w:val="003B1B7D"/>
    <w:rsid w:val="003B25FE"/>
    <w:rsid w:val="003B4F14"/>
    <w:rsid w:val="003B718E"/>
    <w:rsid w:val="003C1BF0"/>
    <w:rsid w:val="003C2A53"/>
    <w:rsid w:val="003C341D"/>
    <w:rsid w:val="003C6289"/>
    <w:rsid w:val="003C6782"/>
    <w:rsid w:val="003C769C"/>
    <w:rsid w:val="003D06BB"/>
    <w:rsid w:val="003D189A"/>
    <w:rsid w:val="003D245A"/>
    <w:rsid w:val="003D35B9"/>
    <w:rsid w:val="003D3EDE"/>
    <w:rsid w:val="003D419E"/>
    <w:rsid w:val="003E1021"/>
    <w:rsid w:val="003E1B92"/>
    <w:rsid w:val="003E24B6"/>
    <w:rsid w:val="003E4DC5"/>
    <w:rsid w:val="003F0C8F"/>
    <w:rsid w:val="003F2131"/>
    <w:rsid w:val="003F48E0"/>
    <w:rsid w:val="003F7F66"/>
    <w:rsid w:val="00404D27"/>
    <w:rsid w:val="004052DB"/>
    <w:rsid w:val="00406C69"/>
    <w:rsid w:val="00410180"/>
    <w:rsid w:val="00410B3F"/>
    <w:rsid w:val="004134E6"/>
    <w:rsid w:val="00414EA6"/>
    <w:rsid w:val="00415DEA"/>
    <w:rsid w:val="00415FE3"/>
    <w:rsid w:val="0042078D"/>
    <w:rsid w:val="00420E7C"/>
    <w:rsid w:val="00421344"/>
    <w:rsid w:val="00423920"/>
    <w:rsid w:val="00426815"/>
    <w:rsid w:val="004300BE"/>
    <w:rsid w:val="00430EB2"/>
    <w:rsid w:val="00431422"/>
    <w:rsid w:val="00434922"/>
    <w:rsid w:val="00434DEF"/>
    <w:rsid w:val="00441ED5"/>
    <w:rsid w:val="0044392E"/>
    <w:rsid w:val="00443A9A"/>
    <w:rsid w:val="004443EE"/>
    <w:rsid w:val="00444B15"/>
    <w:rsid w:val="004458BD"/>
    <w:rsid w:val="0044695F"/>
    <w:rsid w:val="0045052A"/>
    <w:rsid w:val="00451F13"/>
    <w:rsid w:val="0045561B"/>
    <w:rsid w:val="00457ABC"/>
    <w:rsid w:val="0046035F"/>
    <w:rsid w:val="00462222"/>
    <w:rsid w:val="00463CD3"/>
    <w:rsid w:val="00466240"/>
    <w:rsid w:val="004667BD"/>
    <w:rsid w:val="0046784D"/>
    <w:rsid w:val="00467F75"/>
    <w:rsid w:val="00470F62"/>
    <w:rsid w:val="00471748"/>
    <w:rsid w:val="004768DC"/>
    <w:rsid w:val="00476E8E"/>
    <w:rsid w:val="00480418"/>
    <w:rsid w:val="00480776"/>
    <w:rsid w:val="00483F64"/>
    <w:rsid w:val="00491C54"/>
    <w:rsid w:val="00496CE3"/>
    <w:rsid w:val="00497BD1"/>
    <w:rsid w:val="004A4599"/>
    <w:rsid w:val="004A7501"/>
    <w:rsid w:val="004B23A8"/>
    <w:rsid w:val="004B4249"/>
    <w:rsid w:val="004B58AC"/>
    <w:rsid w:val="004B651E"/>
    <w:rsid w:val="004C2C68"/>
    <w:rsid w:val="004C37AF"/>
    <w:rsid w:val="004D3F99"/>
    <w:rsid w:val="004D4E4E"/>
    <w:rsid w:val="004D5670"/>
    <w:rsid w:val="004D58D2"/>
    <w:rsid w:val="004D69EF"/>
    <w:rsid w:val="004E288B"/>
    <w:rsid w:val="004E2EA2"/>
    <w:rsid w:val="004E34A6"/>
    <w:rsid w:val="004F0E35"/>
    <w:rsid w:val="004F127D"/>
    <w:rsid w:val="004F13A0"/>
    <w:rsid w:val="004F35AA"/>
    <w:rsid w:val="004F4780"/>
    <w:rsid w:val="004F4935"/>
    <w:rsid w:val="00501024"/>
    <w:rsid w:val="005011DC"/>
    <w:rsid w:val="00505547"/>
    <w:rsid w:val="005056EB"/>
    <w:rsid w:val="0050623B"/>
    <w:rsid w:val="00507111"/>
    <w:rsid w:val="00511088"/>
    <w:rsid w:val="00511ED5"/>
    <w:rsid w:val="00515BF2"/>
    <w:rsid w:val="005222D0"/>
    <w:rsid w:val="005249E9"/>
    <w:rsid w:val="00526FA2"/>
    <w:rsid w:val="005272F8"/>
    <w:rsid w:val="0053147A"/>
    <w:rsid w:val="00532027"/>
    <w:rsid w:val="005332DD"/>
    <w:rsid w:val="005340CB"/>
    <w:rsid w:val="00535924"/>
    <w:rsid w:val="00535E4B"/>
    <w:rsid w:val="0053655F"/>
    <w:rsid w:val="0053775C"/>
    <w:rsid w:val="005406BE"/>
    <w:rsid w:val="00540992"/>
    <w:rsid w:val="005450CE"/>
    <w:rsid w:val="00545E62"/>
    <w:rsid w:val="005466AF"/>
    <w:rsid w:val="005506C1"/>
    <w:rsid w:val="00552C7E"/>
    <w:rsid w:val="0055526B"/>
    <w:rsid w:val="00556FDF"/>
    <w:rsid w:val="00557A03"/>
    <w:rsid w:val="0056017B"/>
    <w:rsid w:val="00560728"/>
    <w:rsid w:val="00561453"/>
    <w:rsid w:val="00562378"/>
    <w:rsid w:val="0056314A"/>
    <w:rsid w:val="0056414B"/>
    <w:rsid w:val="00566428"/>
    <w:rsid w:val="00571C0F"/>
    <w:rsid w:val="00582A9D"/>
    <w:rsid w:val="005841F3"/>
    <w:rsid w:val="005904A0"/>
    <w:rsid w:val="00592953"/>
    <w:rsid w:val="00594A60"/>
    <w:rsid w:val="00595E10"/>
    <w:rsid w:val="00596E30"/>
    <w:rsid w:val="005A0BD7"/>
    <w:rsid w:val="005A11C5"/>
    <w:rsid w:val="005A1A62"/>
    <w:rsid w:val="005A2B37"/>
    <w:rsid w:val="005A4A52"/>
    <w:rsid w:val="005B509F"/>
    <w:rsid w:val="005C028E"/>
    <w:rsid w:val="005C1BFA"/>
    <w:rsid w:val="005C27F7"/>
    <w:rsid w:val="005D1C0B"/>
    <w:rsid w:val="005D32ED"/>
    <w:rsid w:val="005E1910"/>
    <w:rsid w:val="005E4088"/>
    <w:rsid w:val="005F00FE"/>
    <w:rsid w:val="005F0745"/>
    <w:rsid w:val="005F3ACC"/>
    <w:rsid w:val="005F6DDE"/>
    <w:rsid w:val="005F781A"/>
    <w:rsid w:val="005F7F6C"/>
    <w:rsid w:val="006026AE"/>
    <w:rsid w:val="0060367F"/>
    <w:rsid w:val="00605957"/>
    <w:rsid w:val="00614666"/>
    <w:rsid w:val="00615B8D"/>
    <w:rsid w:val="006169F5"/>
    <w:rsid w:val="00620D42"/>
    <w:rsid w:val="00623986"/>
    <w:rsid w:val="0062442A"/>
    <w:rsid w:val="00625919"/>
    <w:rsid w:val="00632515"/>
    <w:rsid w:val="006327AD"/>
    <w:rsid w:val="00632954"/>
    <w:rsid w:val="00634C0F"/>
    <w:rsid w:val="00635793"/>
    <w:rsid w:val="00635DAC"/>
    <w:rsid w:val="006363CE"/>
    <w:rsid w:val="00637CBE"/>
    <w:rsid w:val="006430C9"/>
    <w:rsid w:val="00645A1F"/>
    <w:rsid w:val="00645B90"/>
    <w:rsid w:val="0064640B"/>
    <w:rsid w:val="006506D4"/>
    <w:rsid w:val="00653450"/>
    <w:rsid w:val="00654039"/>
    <w:rsid w:val="00654CAF"/>
    <w:rsid w:val="00657168"/>
    <w:rsid w:val="006608E9"/>
    <w:rsid w:val="006636AF"/>
    <w:rsid w:val="00667E42"/>
    <w:rsid w:val="00671FFE"/>
    <w:rsid w:val="00672CBA"/>
    <w:rsid w:val="00674A78"/>
    <w:rsid w:val="00676239"/>
    <w:rsid w:val="006805C9"/>
    <w:rsid w:val="00681E56"/>
    <w:rsid w:val="0068488A"/>
    <w:rsid w:val="00684EDE"/>
    <w:rsid w:val="006866DB"/>
    <w:rsid w:val="00687EB2"/>
    <w:rsid w:val="0069370E"/>
    <w:rsid w:val="00697B34"/>
    <w:rsid w:val="006A0245"/>
    <w:rsid w:val="006A0858"/>
    <w:rsid w:val="006A0C98"/>
    <w:rsid w:val="006A24B4"/>
    <w:rsid w:val="006A3247"/>
    <w:rsid w:val="006B2EEE"/>
    <w:rsid w:val="006B3D83"/>
    <w:rsid w:val="006B40AE"/>
    <w:rsid w:val="006B5512"/>
    <w:rsid w:val="006B6E4E"/>
    <w:rsid w:val="006B7149"/>
    <w:rsid w:val="006B74EA"/>
    <w:rsid w:val="006C6DA8"/>
    <w:rsid w:val="006C7513"/>
    <w:rsid w:val="006C7A67"/>
    <w:rsid w:val="006D5379"/>
    <w:rsid w:val="006D69B6"/>
    <w:rsid w:val="006E210D"/>
    <w:rsid w:val="006E2550"/>
    <w:rsid w:val="006E6B88"/>
    <w:rsid w:val="006F1836"/>
    <w:rsid w:val="006F3CC8"/>
    <w:rsid w:val="006F3DB6"/>
    <w:rsid w:val="006F4688"/>
    <w:rsid w:val="006F58EA"/>
    <w:rsid w:val="006F6308"/>
    <w:rsid w:val="006F7726"/>
    <w:rsid w:val="006F77D8"/>
    <w:rsid w:val="006F7AC1"/>
    <w:rsid w:val="007020D9"/>
    <w:rsid w:val="00702FF3"/>
    <w:rsid w:val="00705D46"/>
    <w:rsid w:val="00705E09"/>
    <w:rsid w:val="00706D47"/>
    <w:rsid w:val="00706F07"/>
    <w:rsid w:val="007148E2"/>
    <w:rsid w:val="007149B0"/>
    <w:rsid w:val="0072374F"/>
    <w:rsid w:val="00725CAC"/>
    <w:rsid w:val="00734CF2"/>
    <w:rsid w:val="007366A0"/>
    <w:rsid w:val="0074002D"/>
    <w:rsid w:val="007404AD"/>
    <w:rsid w:val="00746275"/>
    <w:rsid w:val="00750F43"/>
    <w:rsid w:val="007516B9"/>
    <w:rsid w:val="007568A8"/>
    <w:rsid w:val="007579EE"/>
    <w:rsid w:val="0076212E"/>
    <w:rsid w:val="00764D7D"/>
    <w:rsid w:val="00770D3D"/>
    <w:rsid w:val="00771E8E"/>
    <w:rsid w:val="00772FC5"/>
    <w:rsid w:val="007753C7"/>
    <w:rsid w:val="00781F1C"/>
    <w:rsid w:val="00785970"/>
    <w:rsid w:val="00786047"/>
    <w:rsid w:val="00790486"/>
    <w:rsid w:val="00790CE8"/>
    <w:rsid w:val="00791FEF"/>
    <w:rsid w:val="00792342"/>
    <w:rsid w:val="00793877"/>
    <w:rsid w:val="00795256"/>
    <w:rsid w:val="00795CF1"/>
    <w:rsid w:val="007A2658"/>
    <w:rsid w:val="007A4C13"/>
    <w:rsid w:val="007A5661"/>
    <w:rsid w:val="007A586F"/>
    <w:rsid w:val="007A5DC6"/>
    <w:rsid w:val="007B0608"/>
    <w:rsid w:val="007B24F8"/>
    <w:rsid w:val="007B2A77"/>
    <w:rsid w:val="007B53CA"/>
    <w:rsid w:val="007C0D9E"/>
    <w:rsid w:val="007C178B"/>
    <w:rsid w:val="007C2775"/>
    <w:rsid w:val="007C3A4F"/>
    <w:rsid w:val="007C74D2"/>
    <w:rsid w:val="007C7696"/>
    <w:rsid w:val="007D3579"/>
    <w:rsid w:val="007D4434"/>
    <w:rsid w:val="007D5192"/>
    <w:rsid w:val="007E046D"/>
    <w:rsid w:val="007E0955"/>
    <w:rsid w:val="007E4ABF"/>
    <w:rsid w:val="007E5A98"/>
    <w:rsid w:val="007E6F4F"/>
    <w:rsid w:val="007E7115"/>
    <w:rsid w:val="007E71A3"/>
    <w:rsid w:val="007F3C3E"/>
    <w:rsid w:val="007F5DA0"/>
    <w:rsid w:val="007F655C"/>
    <w:rsid w:val="0080306B"/>
    <w:rsid w:val="00803747"/>
    <w:rsid w:val="0080691F"/>
    <w:rsid w:val="0081038E"/>
    <w:rsid w:val="00811151"/>
    <w:rsid w:val="0081244E"/>
    <w:rsid w:val="00813D64"/>
    <w:rsid w:val="008237FD"/>
    <w:rsid w:val="00830596"/>
    <w:rsid w:val="00830660"/>
    <w:rsid w:val="00834D33"/>
    <w:rsid w:val="00836E27"/>
    <w:rsid w:val="008378C4"/>
    <w:rsid w:val="008419F3"/>
    <w:rsid w:val="00843C8C"/>
    <w:rsid w:val="00845820"/>
    <w:rsid w:val="008458F1"/>
    <w:rsid w:val="0085087D"/>
    <w:rsid w:val="00850982"/>
    <w:rsid w:val="008516D7"/>
    <w:rsid w:val="0085170F"/>
    <w:rsid w:val="008550CE"/>
    <w:rsid w:val="008559A6"/>
    <w:rsid w:val="0085623E"/>
    <w:rsid w:val="008633DB"/>
    <w:rsid w:val="008644D0"/>
    <w:rsid w:val="008646B4"/>
    <w:rsid w:val="00866292"/>
    <w:rsid w:val="0086687F"/>
    <w:rsid w:val="0086697F"/>
    <w:rsid w:val="00867375"/>
    <w:rsid w:val="008675E9"/>
    <w:rsid w:val="00873096"/>
    <w:rsid w:val="00875F15"/>
    <w:rsid w:val="008769D1"/>
    <w:rsid w:val="008815A1"/>
    <w:rsid w:val="008817BE"/>
    <w:rsid w:val="00882050"/>
    <w:rsid w:val="00882C38"/>
    <w:rsid w:val="00885E3E"/>
    <w:rsid w:val="00885E4A"/>
    <w:rsid w:val="008A205F"/>
    <w:rsid w:val="008A523A"/>
    <w:rsid w:val="008A66DE"/>
    <w:rsid w:val="008B19C8"/>
    <w:rsid w:val="008B31A8"/>
    <w:rsid w:val="008B3A6A"/>
    <w:rsid w:val="008B5547"/>
    <w:rsid w:val="008C757E"/>
    <w:rsid w:val="008D09BB"/>
    <w:rsid w:val="008D2F31"/>
    <w:rsid w:val="008D45CF"/>
    <w:rsid w:val="008D7D41"/>
    <w:rsid w:val="008E6485"/>
    <w:rsid w:val="008F26E4"/>
    <w:rsid w:val="008F4E78"/>
    <w:rsid w:val="00906409"/>
    <w:rsid w:val="00916101"/>
    <w:rsid w:val="00916295"/>
    <w:rsid w:val="009172C6"/>
    <w:rsid w:val="00926BB9"/>
    <w:rsid w:val="009315FF"/>
    <w:rsid w:val="00931BBF"/>
    <w:rsid w:val="00931E6C"/>
    <w:rsid w:val="00932834"/>
    <w:rsid w:val="00937D49"/>
    <w:rsid w:val="009400DA"/>
    <w:rsid w:val="00941147"/>
    <w:rsid w:val="00943F39"/>
    <w:rsid w:val="00944016"/>
    <w:rsid w:val="00944FEB"/>
    <w:rsid w:val="00945233"/>
    <w:rsid w:val="00950E49"/>
    <w:rsid w:val="009517A7"/>
    <w:rsid w:val="009517CD"/>
    <w:rsid w:val="009558E4"/>
    <w:rsid w:val="009609AF"/>
    <w:rsid w:val="00963A9E"/>
    <w:rsid w:val="009648ED"/>
    <w:rsid w:val="00965486"/>
    <w:rsid w:val="00967047"/>
    <w:rsid w:val="009748CE"/>
    <w:rsid w:val="00977103"/>
    <w:rsid w:val="0098224F"/>
    <w:rsid w:val="00983765"/>
    <w:rsid w:val="0099187B"/>
    <w:rsid w:val="00993366"/>
    <w:rsid w:val="00993B22"/>
    <w:rsid w:val="009946A2"/>
    <w:rsid w:val="0099548E"/>
    <w:rsid w:val="00995BF9"/>
    <w:rsid w:val="009A12DB"/>
    <w:rsid w:val="009A20D6"/>
    <w:rsid w:val="009A3816"/>
    <w:rsid w:val="009A4E0B"/>
    <w:rsid w:val="009A6106"/>
    <w:rsid w:val="009B0047"/>
    <w:rsid w:val="009B237D"/>
    <w:rsid w:val="009B51BE"/>
    <w:rsid w:val="009B64E6"/>
    <w:rsid w:val="009B6FB1"/>
    <w:rsid w:val="009C0598"/>
    <w:rsid w:val="009C244A"/>
    <w:rsid w:val="009C2620"/>
    <w:rsid w:val="009C3DB1"/>
    <w:rsid w:val="009C4C0D"/>
    <w:rsid w:val="009C4EEB"/>
    <w:rsid w:val="009C5465"/>
    <w:rsid w:val="009C64FD"/>
    <w:rsid w:val="009C7EC7"/>
    <w:rsid w:val="009D09E7"/>
    <w:rsid w:val="009D09ED"/>
    <w:rsid w:val="009D18DC"/>
    <w:rsid w:val="009D1ABC"/>
    <w:rsid w:val="009D231D"/>
    <w:rsid w:val="009D4008"/>
    <w:rsid w:val="009E32BA"/>
    <w:rsid w:val="009E45DA"/>
    <w:rsid w:val="009F4410"/>
    <w:rsid w:val="009F4B6C"/>
    <w:rsid w:val="00A06231"/>
    <w:rsid w:val="00A06DDA"/>
    <w:rsid w:val="00A216D0"/>
    <w:rsid w:val="00A23774"/>
    <w:rsid w:val="00A241B2"/>
    <w:rsid w:val="00A24AB4"/>
    <w:rsid w:val="00A25D35"/>
    <w:rsid w:val="00A266E6"/>
    <w:rsid w:val="00A323F0"/>
    <w:rsid w:val="00A32ED2"/>
    <w:rsid w:val="00A34400"/>
    <w:rsid w:val="00A35B38"/>
    <w:rsid w:val="00A36013"/>
    <w:rsid w:val="00A407BB"/>
    <w:rsid w:val="00A43515"/>
    <w:rsid w:val="00A467C8"/>
    <w:rsid w:val="00A468DB"/>
    <w:rsid w:val="00A46DCF"/>
    <w:rsid w:val="00A5069E"/>
    <w:rsid w:val="00A5215E"/>
    <w:rsid w:val="00A557AC"/>
    <w:rsid w:val="00A557FA"/>
    <w:rsid w:val="00A560F2"/>
    <w:rsid w:val="00A57B52"/>
    <w:rsid w:val="00A62BD5"/>
    <w:rsid w:val="00A63DED"/>
    <w:rsid w:val="00A6448E"/>
    <w:rsid w:val="00A6467F"/>
    <w:rsid w:val="00A659D9"/>
    <w:rsid w:val="00A70934"/>
    <w:rsid w:val="00A73BAE"/>
    <w:rsid w:val="00A741BD"/>
    <w:rsid w:val="00A77595"/>
    <w:rsid w:val="00A77DB0"/>
    <w:rsid w:val="00A80A37"/>
    <w:rsid w:val="00A90895"/>
    <w:rsid w:val="00A914CD"/>
    <w:rsid w:val="00A9343F"/>
    <w:rsid w:val="00A94716"/>
    <w:rsid w:val="00A947D0"/>
    <w:rsid w:val="00A96063"/>
    <w:rsid w:val="00AA21B4"/>
    <w:rsid w:val="00AA4BD6"/>
    <w:rsid w:val="00AA7C3E"/>
    <w:rsid w:val="00AB1A10"/>
    <w:rsid w:val="00AB24D1"/>
    <w:rsid w:val="00AB467D"/>
    <w:rsid w:val="00AB614F"/>
    <w:rsid w:val="00AC1487"/>
    <w:rsid w:val="00AC5449"/>
    <w:rsid w:val="00AD1912"/>
    <w:rsid w:val="00AD3573"/>
    <w:rsid w:val="00AD6ED2"/>
    <w:rsid w:val="00AE395A"/>
    <w:rsid w:val="00AE4EBD"/>
    <w:rsid w:val="00AE629A"/>
    <w:rsid w:val="00AE74FE"/>
    <w:rsid w:val="00AF0E37"/>
    <w:rsid w:val="00AF1D4B"/>
    <w:rsid w:val="00AF2AB4"/>
    <w:rsid w:val="00AF3D0A"/>
    <w:rsid w:val="00AF656D"/>
    <w:rsid w:val="00AF68E1"/>
    <w:rsid w:val="00B06F31"/>
    <w:rsid w:val="00B1069A"/>
    <w:rsid w:val="00B10D01"/>
    <w:rsid w:val="00B116DF"/>
    <w:rsid w:val="00B117D0"/>
    <w:rsid w:val="00B14731"/>
    <w:rsid w:val="00B15787"/>
    <w:rsid w:val="00B15939"/>
    <w:rsid w:val="00B175A0"/>
    <w:rsid w:val="00B202D8"/>
    <w:rsid w:val="00B23D73"/>
    <w:rsid w:val="00B24D28"/>
    <w:rsid w:val="00B32494"/>
    <w:rsid w:val="00B33A0F"/>
    <w:rsid w:val="00B358B8"/>
    <w:rsid w:val="00B36FAF"/>
    <w:rsid w:val="00B43EC2"/>
    <w:rsid w:val="00B46955"/>
    <w:rsid w:val="00B472A1"/>
    <w:rsid w:val="00B50F34"/>
    <w:rsid w:val="00B54D9D"/>
    <w:rsid w:val="00B56EC5"/>
    <w:rsid w:val="00B64E71"/>
    <w:rsid w:val="00B66F29"/>
    <w:rsid w:val="00B70A60"/>
    <w:rsid w:val="00B74563"/>
    <w:rsid w:val="00B74D14"/>
    <w:rsid w:val="00B76865"/>
    <w:rsid w:val="00B84E6C"/>
    <w:rsid w:val="00B91077"/>
    <w:rsid w:val="00B94311"/>
    <w:rsid w:val="00B94DE9"/>
    <w:rsid w:val="00B9703C"/>
    <w:rsid w:val="00B97F90"/>
    <w:rsid w:val="00BA09C2"/>
    <w:rsid w:val="00BA3B0D"/>
    <w:rsid w:val="00BA54C2"/>
    <w:rsid w:val="00BB0711"/>
    <w:rsid w:val="00BB122B"/>
    <w:rsid w:val="00BB1C8E"/>
    <w:rsid w:val="00BB236B"/>
    <w:rsid w:val="00BB27A9"/>
    <w:rsid w:val="00BC01AC"/>
    <w:rsid w:val="00BC09A0"/>
    <w:rsid w:val="00BC4517"/>
    <w:rsid w:val="00BC462D"/>
    <w:rsid w:val="00BC4BE0"/>
    <w:rsid w:val="00BD10C9"/>
    <w:rsid w:val="00BD1882"/>
    <w:rsid w:val="00BD20A6"/>
    <w:rsid w:val="00BD5436"/>
    <w:rsid w:val="00BD574E"/>
    <w:rsid w:val="00BD6563"/>
    <w:rsid w:val="00BD6994"/>
    <w:rsid w:val="00BD7533"/>
    <w:rsid w:val="00BD7E1D"/>
    <w:rsid w:val="00BE3B9D"/>
    <w:rsid w:val="00BE66E9"/>
    <w:rsid w:val="00BF18A7"/>
    <w:rsid w:val="00BF537F"/>
    <w:rsid w:val="00BF6CE6"/>
    <w:rsid w:val="00C02E94"/>
    <w:rsid w:val="00C04A39"/>
    <w:rsid w:val="00C06ECC"/>
    <w:rsid w:val="00C07A1C"/>
    <w:rsid w:val="00C10DF1"/>
    <w:rsid w:val="00C155DC"/>
    <w:rsid w:val="00C17A2B"/>
    <w:rsid w:val="00C17D8B"/>
    <w:rsid w:val="00C21701"/>
    <w:rsid w:val="00C234D7"/>
    <w:rsid w:val="00C23ACE"/>
    <w:rsid w:val="00C23D52"/>
    <w:rsid w:val="00C242E9"/>
    <w:rsid w:val="00C25BA9"/>
    <w:rsid w:val="00C2653F"/>
    <w:rsid w:val="00C2689E"/>
    <w:rsid w:val="00C31A8B"/>
    <w:rsid w:val="00C33DBC"/>
    <w:rsid w:val="00C36097"/>
    <w:rsid w:val="00C412F2"/>
    <w:rsid w:val="00C4390C"/>
    <w:rsid w:val="00C45D91"/>
    <w:rsid w:val="00C468E2"/>
    <w:rsid w:val="00C51ABB"/>
    <w:rsid w:val="00C520ED"/>
    <w:rsid w:val="00C551C1"/>
    <w:rsid w:val="00C5654D"/>
    <w:rsid w:val="00C56F49"/>
    <w:rsid w:val="00C61C79"/>
    <w:rsid w:val="00C67DF5"/>
    <w:rsid w:val="00C74935"/>
    <w:rsid w:val="00C75477"/>
    <w:rsid w:val="00C77F0D"/>
    <w:rsid w:val="00C810A4"/>
    <w:rsid w:val="00C9339A"/>
    <w:rsid w:val="00C96B00"/>
    <w:rsid w:val="00CA1C66"/>
    <w:rsid w:val="00CA3126"/>
    <w:rsid w:val="00CA5C08"/>
    <w:rsid w:val="00CA7B28"/>
    <w:rsid w:val="00CB0677"/>
    <w:rsid w:val="00CB12D5"/>
    <w:rsid w:val="00CB15FF"/>
    <w:rsid w:val="00CB1D64"/>
    <w:rsid w:val="00CB23A1"/>
    <w:rsid w:val="00CB4D2F"/>
    <w:rsid w:val="00CB52AD"/>
    <w:rsid w:val="00CB6B88"/>
    <w:rsid w:val="00CB6B9E"/>
    <w:rsid w:val="00CC076B"/>
    <w:rsid w:val="00CC0F9B"/>
    <w:rsid w:val="00CC21D3"/>
    <w:rsid w:val="00CD31E9"/>
    <w:rsid w:val="00CD669A"/>
    <w:rsid w:val="00CE3B90"/>
    <w:rsid w:val="00CE43FE"/>
    <w:rsid w:val="00CE5FE7"/>
    <w:rsid w:val="00CE6BD1"/>
    <w:rsid w:val="00CE6C69"/>
    <w:rsid w:val="00CF0F1E"/>
    <w:rsid w:val="00CF25A2"/>
    <w:rsid w:val="00CF3BDC"/>
    <w:rsid w:val="00CF50AB"/>
    <w:rsid w:val="00CF56E9"/>
    <w:rsid w:val="00D001E4"/>
    <w:rsid w:val="00D010E7"/>
    <w:rsid w:val="00D02247"/>
    <w:rsid w:val="00D05E4F"/>
    <w:rsid w:val="00D05F54"/>
    <w:rsid w:val="00D14ED1"/>
    <w:rsid w:val="00D23B64"/>
    <w:rsid w:val="00D25DFA"/>
    <w:rsid w:val="00D25E04"/>
    <w:rsid w:val="00D27F01"/>
    <w:rsid w:val="00D318BB"/>
    <w:rsid w:val="00D33213"/>
    <w:rsid w:val="00D377B1"/>
    <w:rsid w:val="00D41C55"/>
    <w:rsid w:val="00D45F4F"/>
    <w:rsid w:val="00D527B0"/>
    <w:rsid w:val="00D676D3"/>
    <w:rsid w:val="00D71038"/>
    <w:rsid w:val="00D71660"/>
    <w:rsid w:val="00D73A83"/>
    <w:rsid w:val="00D755B6"/>
    <w:rsid w:val="00D75E74"/>
    <w:rsid w:val="00D80863"/>
    <w:rsid w:val="00D846F4"/>
    <w:rsid w:val="00D853F1"/>
    <w:rsid w:val="00D87B69"/>
    <w:rsid w:val="00D91435"/>
    <w:rsid w:val="00D91D93"/>
    <w:rsid w:val="00D92C7C"/>
    <w:rsid w:val="00D92D0E"/>
    <w:rsid w:val="00D93CCD"/>
    <w:rsid w:val="00D96A4A"/>
    <w:rsid w:val="00DA1AC8"/>
    <w:rsid w:val="00DA3EE7"/>
    <w:rsid w:val="00DB035C"/>
    <w:rsid w:val="00DB1F4B"/>
    <w:rsid w:val="00DB3AFF"/>
    <w:rsid w:val="00DC0AFE"/>
    <w:rsid w:val="00DC2F0F"/>
    <w:rsid w:val="00DD18DC"/>
    <w:rsid w:val="00DD252C"/>
    <w:rsid w:val="00DD6A16"/>
    <w:rsid w:val="00DE0788"/>
    <w:rsid w:val="00DE30C6"/>
    <w:rsid w:val="00DE70EC"/>
    <w:rsid w:val="00DF0434"/>
    <w:rsid w:val="00DF12CB"/>
    <w:rsid w:val="00DF1C9F"/>
    <w:rsid w:val="00DF2434"/>
    <w:rsid w:val="00DF5057"/>
    <w:rsid w:val="00DF647F"/>
    <w:rsid w:val="00E02415"/>
    <w:rsid w:val="00E037D5"/>
    <w:rsid w:val="00E0611C"/>
    <w:rsid w:val="00E06976"/>
    <w:rsid w:val="00E12552"/>
    <w:rsid w:val="00E14C91"/>
    <w:rsid w:val="00E16188"/>
    <w:rsid w:val="00E2171E"/>
    <w:rsid w:val="00E21B6F"/>
    <w:rsid w:val="00E22AA0"/>
    <w:rsid w:val="00E242BD"/>
    <w:rsid w:val="00E24A6D"/>
    <w:rsid w:val="00E258F8"/>
    <w:rsid w:val="00E26619"/>
    <w:rsid w:val="00E31F00"/>
    <w:rsid w:val="00E3490B"/>
    <w:rsid w:val="00E36543"/>
    <w:rsid w:val="00E440AA"/>
    <w:rsid w:val="00E50E6A"/>
    <w:rsid w:val="00E53FF5"/>
    <w:rsid w:val="00E54BAB"/>
    <w:rsid w:val="00E55D92"/>
    <w:rsid w:val="00E61BD3"/>
    <w:rsid w:val="00E627DE"/>
    <w:rsid w:val="00E73164"/>
    <w:rsid w:val="00E751DC"/>
    <w:rsid w:val="00E77473"/>
    <w:rsid w:val="00E80877"/>
    <w:rsid w:val="00E81D88"/>
    <w:rsid w:val="00E83D4E"/>
    <w:rsid w:val="00E842FD"/>
    <w:rsid w:val="00E8577A"/>
    <w:rsid w:val="00E94541"/>
    <w:rsid w:val="00EA0488"/>
    <w:rsid w:val="00EA09E0"/>
    <w:rsid w:val="00EA1942"/>
    <w:rsid w:val="00EA2BCA"/>
    <w:rsid w:val="00EA4B29"/>
    <w:rsid w:val="00EA749C"/>
    <w:rsid w:val="00EB295C"/>
    <w:rsid w:val="00EB38B2"/>
    <w:rsid w:val="00EB55F8"/>
    <w:rsid w:val="00EC0592"/>
    <w:rsid w:val="00EC27CE"/>
    <w:rsid w:val="00EC657E"/>
    <w:rsid w:val="00EC67F5"/>
    <w:rsid w:val="00EC7477"/>
    <w:rsid w:val="00ED3039"/>
    <w:rsid w:val="00ED3BE9"/>
    <w:rsid w:val="00ED53DF"/>
    <w:rsid w:val="00ED61E3"/>
    <w:rsid w:val="00ED6C4A"/>
    <w:rsid w:val="00EE51E8"/>
    <w:rsid w:val="00EF1711"/>
    <w:rsid w:val="00EF19BC"/>
    <w:rsid w:val="00EF4E1C"/>
    <w:rsid w:val="00EF5D72"/>
    <w:rsid w:val="00F00162"/>
    <w:rsid w:val="00F04E89"/>
    <w:rsid w:val="00F059A9"/>
    <w:rsid w:val="00F05F79"/>
    <w:rsid w:val="00F07FC1"/>
    <w:rsid w:val="00F17156"/>
    <w:rsid w:val="00F173F8"/>
    <w:rsid w:val="00F3611A"/>
    <w:rsid w:val="00F4447E"/>
    <w:rsid w:val="00F44A0A"/>
    <w:rsid w:val="00F5150B"/>
    <w:rsid w:val="00F5393E"/>
    <w:rsid w:val="00F53B56"/>
    <w:rsid w:val="00F56BB4"/>
    <w:rsid w:val="00F57A91"/>
    <w:rsid w:val="00F62998"/>
    <w:rsid w:val="00F63327"/>
    <w:rsid w:val="00F66D91"/>
    <w:rsid w:val="00F67A68"/>
    <w:rsid w:val="00F70B1B"/>
    <w:rsid w:val="00F71310"/>
    <w:rsid w:val="00F75CB1"/>
    <w:rsid w:val="00F7714D"/>
    <w:rsid w:val="00F8341D"/>
    <w:rsid w:val="00F834DC"/>
    <w:rsid w:val="00F83C82"/>
    <w:rsid w:val="00F852F2"/>
    <w:rsid w:val="00F8635A"/>
    <w:rsid w:val="00F90926"/>
    <w:rsid w:val="00F90A32"/>
    <w:rsid w:val="00F915BC"/>
    <w:rsid w:val="00F920AA"/>
    <w:rsid w:val="00F945BC"/>
    <w:rsid w:val="00F955BB"/>
    <w:rsid w:val="00F97205"/>
    <w:rsid w:val="00F97A93"/>
    <w:rsid w:val="00FA0535"/>
    <w:rsid w:val="00FA0E39"/>
    <w:rsid w:val="00FA293B"/>
    <w:rsid w:val="00FA5586"/>
    <w:rsid w:val="00FB234E"/>
    <w:rsid w:val="00FB6415"/>
    <w:rsid w:val="00FB7FE8"/>
    <w:rsid w:val="00FC2068"/>
    <w:rsid w:val="00FC48AF"/>
    <w:rsid w:val="00FC57AC"/>
    <w:rsid w:val="00FC5BC1"/>
    <w:rsid w:val="00FD2EAD"/>
    <w:rsid w:val="00FD7236"/>
    <w:rsid w:val="00FE20BC"/>
    <w:rsid w:val="00FE4A45"/>
    <w:rsid w:val="00FE4CBF"/>
    <w:rsid w:val="00FE592E"/>
    <w:rsid w:val="00FF16BB"/>
    <w:rsid w:val="00FF3FB3"/>
    <w:rsid w:val="00FF5DF2"/>
    <w:rsid w:val="00FF72E4"/>
    <w:rsid w:val="00FF744F"/>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308A35"/>
  <w15:chartTrackingRefBased/>
  <w15:docId w15:val="{43888E42-156A-0A4F-A573-050A652FFA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imes New Roman"/>
        <w:sz w:val="24"/>
        <w:szCs w:val="24"/>
        <w:lang w:val="en-AU" w:eastAsia="en-US" w:bidi="ar-SA"/>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71310"/>
  </w:style>
  <w:style w:type="paragraph" w:styleId="Heading1">
    <w:name w:val="heading 1"/>
    <w:basedOn w:val="Normal"/>
    <w:next w:val="Normal"/>
    <w:link w:val="Heading1Char"/>
    <w:uiPriority w:val="9"/>
    <w:qFormat/>
    <w:rsid w:val="00F71310"/>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F71310"/>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F71310"/>
    <w:pPr>
      <w:keepNext/>
      <w:keepLines/>
      <w:spacing w:before="160" w:after="80"/>
      <w:outlineLvl w:val="2"/>
    </w:pPr>
    <w:rPr>
      <w:rFonts w:asciiTheme="minorHAnsi" w:eastAsiaTheme="majorEastAsia" w:hAnsiTheme="minorHAnsi"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F71310"/>
    <w:pPr>
      <w:keepNext/>
      <w:keepLines/>
      <w:spacing w:before="80" w:after="40"/>
      <w:outlineLvl w:val="3"/>
    </w:pPr>
    <w:rPr>
      <w:rFonts w:asciiTheme="minorHAnsi" w:eastAsiaTheme="majorEastAsia" w:hAnsiTheme="minorHAnsi" w:cstheme="majorBidi"/>
      <w:i/>
      <w:iCs/>
      <w:color w:val="0F4761" w:themeColor="accent1" w:themeShade="BF"/>
    </w:rPr>
  </w:style>
  <w:style w:type="paragraph" w:styleId="Heading5">
    <w:name w:val="heading 5"/>
    <w:basedOn w:val="Normal"/>
    <w:next w:val="Normal"/>
    <w:link w:val="Heading5Char"/>
    <w:uiPriority w:val="9"/>
    <w:semiHidden/>
    <w:unhideWhenUsed/>
    <w:qFormat/>
    <w:rsid w:val="00F71310"/>
    <w:pPr>
      <w:keepNext/>
      <w:keepLines/>
      <w:spacing w:before="80" w:after="40"/>
      <w:outlineLvl w:val="4"/>
    </w:pPr>
    <w:rPr>
      <w:rFonts w:asciiTheme="minorHAnsi" w:eastAsiaTheme="majorEastAsia" w:hAnsiTheme="minorHAnsi" w:cstheme="majorBidi"/>
      <w:color w:val="0F4761" w:themeColor="accent1" w:themeShade="BF"/>
    </w:rPr>
  </w:style>
  <w:style w:type="paragraph" w:styleId="Heading6">
    <w:name w:val="heading 6"/>
    <w:basedOn w:val="Normal"/>
    <w:next w:val="Normal"/>
    <w:link w:val="Heading6Char"/>
    <w:uiPriority w:val="9"/>
    <w:semiHidden/>
    <w:unhideWhenUsed/>
    <w:qFormat/>
    <w:rsid w:val="00F71310"/>
    <w:pPr>
      <w:keepNext/>
      <w:keepLines/>
      <w:spacing w:before="40" w:after="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F71310"/>
    <w:pPr>
      <w:keepNext/>
      <w:keepLines/>
      <w:spacing w:before="40" w:after="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F71310"/>
    <w:pPr>
      <w:keepNext/>
      <w:keepLines/>
      <w:spacing w:after="0"/>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F71310"/>
    <w:pPr>
      <w:keepNext/>
      <w:keepLines/>
      <w:spacing w:after="0"/>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71310"/>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F71310"/>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F71310"/>
    <w:rPr>
      <w:rFonts w:asciiTheme="minorHAnsi" w:eastAsiaTheme="majorEastAsia" w:hAnsiTheme="minorHAnsi"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F71310"/>
    <w:rPr>
      <w:rFonts w:asciiTheme="minorHAnsi" w:eastAsiaTheme="majorEastAsia" w:hAnsiTheme="minorHAnsi" w:cstheme="majorBidi"/>
      <w:i/>
      <w:iCs/>
      <w:color w:val="0F4761" w:themeColor="accent1" w:themeShade="BF"/>
    </w:rPr>
  </w:style>
  <w:style w:type="character" w:customStyle="1" w:styleId="Heading5Char">
    <w:name w:val="Heading 5 Char"/>
    <w:basedOn w:val="DefaultParagraphFont"/>
    <w:link w:val="Heading5"/>
    <w:uiPriority w:val="9"/>
    <w:semiHidden/>
    <w:rsid w:val="00F71310"/>
    <w:rPr>
      <w:rFonts w:asciiTheme="minorHAnsi" w:eastAsiaTheme="majorEastAsia" w:hAnsiTheme="minorHAnsi" w:cstheme="majorBidi"/>
      <w:color w:val="0F4761" w:themeColor="accent1" w:themeShade="BF"/>
    </w:rPr>
  </w:style>
  <w:style w:type="character" w:customStyle="1" w:styleId="Heading6Char">
    <w:name w:val="Heading 6 Char"/>
    <w:basedOn w:val="DefaultParagraphFont"/>
    <w:link w:val="Heading6"/>
    <w:uiPriority w:val="9"/>
    <w:semiHidden/>
    <w:rsid w:val="00F71310"/>
    <w:rPr>
      <w:rFonts w:asciiTheme="minorHAnsi" w:eastAsiaTheme="majorEastAsia" w:hAnsiTheme="minorHAnsi" w:cstheme="majorBidi"/>
      <w:i/>
      <w:iCs/>
      <w:color w:val="595959" w:themeColor="text1" w:themeTint="A6"/>
    </w:rPr>
  </w:style>
  <w:style w:type="character" w:customStyle="1" w:styleId="Heading7Char">
    <w:name w:val="Heading 7 Char"/>
    <w:basedOn w:val="DefaultParagraphFont"/>
    <w:link w:val="Heading7"/>
    <w:uiPriority w:val="9"/>
    <w:semiHidden/>
    <w:rsid w:val="00F71310"/>
    <w:rPr>
      <w:rFonts w:asciiTheme="minorHAnsi" w:eastAsiaTheme="majorEastAsia" w:hAnsiTheme="minorHAnsi" w:cstheme="majorBidi"/>
      <w:color w:val="595959" w:themeColor="text1" w:themeTint="A6"/>
    </w:rPr>
  </w:style>
  <w:style w:type="character" w:customStyle="1" w:styleId="Heading8Char">
    <w:name w:val="Heading 8 Char"/>
    <w:basedOn w:val="DefaultParagraphFont"/>
    <w:link w:val="Heading8"/>
    <w:uiPriority w:val="9"/>
    <w:semiHidden/>
    <w:rsid w:val="00F71310"/>
    <w:rPr>
      <w:rFonts w:asciiTheme="minorHAnsi" w:eastAsiaTheme="majorEastAsia" w:hAnsiTheme="minorHAnsi" w:cstheme="majorBidi"/>
      <w:i/>
      <w:iCs/>
      <w:color w:val="272727" w:themeColor="text1" w:themeTint="D8"/>
    </w:rPr>
  </w:style>
  <w:style w:type="character" w:customStyle="1" w:styleId="Heading9Char">
    <w:name w:val="Heading 9 Char"/>
    <w:basedOn w:val="DefaultParagraphFont"/>
    <w:link w:val="Heading9"/>
    <w:uiPriority w:val="9"/>
    <w:semiHidden/>
    <w:rsid w:val="00F71310"/>
    <w:rPr>
      <w:rFonts w:asciiTheme="minorHAnsi" w:eastAsiaTheme="majorEastAsia" w:hAnsiTheme="minorHAnsi" w:cstheme="majorBidi"/>
      <w:color w:val="272727" w:themeColor="text1" w:themeTint="D8"/>
    </w:rPr>
  </w:style>
  <w:style w:type="paragraph" w:styleId="Title">
    <w:name w:val="Title"/>
    <w:basedOn w:val="Normal"/>
    <w:next w:val="Normal"/>
    <w:link w:val="TitleChar"/>
    <w:uiPriority w:val="10"/>
    <w:qFormat/>
    <w:rsid w:val="00F7131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71310"/>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F71310"/>
    <w:pPr>
      <w:numPr>
        <w:ilvl w:val="1"/>
      </w:numPr>
    </w:pPr>
    <w:rPr>
      <w:rFonts w:asciiTheme="minorHAnsi" w:eastAsiaTheme="majorEastAsia" w:hAnsiTheme="minorHAnsi"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F71310"/>
    <w:rPr>
      <w:rFonts w:asciiTheme="minorHAnsi" w:eastAsiaTheme="majorEastAsia" w:hAnsiTheme="minorHAnsi" w:cstheme="majorBidi"/>
      <w:color w:val="595959" w:themeColor="text1" w:themeTint="A6"/>
      <w:spacing w:val="15"/>
      <w:sz w:val="28"/>
      <w:szCs w:val="28"/>
    </w:rPr>
  </w:style>
  <w:style w:type="paragraph" w:styleId="Quote">
    <w:name w:val="Quote"/>
    <w:basedOn w:val="Normal"/>
    <w:next w:val="Normal"/>
    <w:link w:val="QuoteChar"/>
    <w:uiPriority w:val="29"/>
    <w:qFormat/>
    <w:rsid w:val="00F71310"/>
    <w:pPr>
      <w:spacing w:before="160"/>
      <w:jc w:val="center"/>
    </w:pPr>
    <w:rPr>
      <w:i/>
      <w:iCs/>
      <w:color w:val="404040" w:themeColor="text1" w:themeTint="BF"/>
    </w:rPr>
  </w:style>
  <w:style w:type="character" w:customStyle="1" w:styleId="QuoteChar">
    <w:name w:val="Quote Char"/>
    <w:basedOn w:val="DefaultParagraphFont"/>
    <w:link w:val="Quote"/>
    <w:uiPriority w:val="29"/>
    <w:rsid w:val="00F71310"/>
    <w:rPr>
      <w:i/>
      <w:iCs/>
      <w:color w:val="404040" w:themeColor="text1" w:themeTint="BF"/>
    </w:rPr>
  </w:style>
  <w:style w:type="paragraph" w:styleId="ListParagraph">
    <w:name w:val="List Paragraph"/>
    <w:basedOn w:val="Normal"/>
    <w:uiPriority w:val="34"/>
    <w:qFormat/>
    <w:rsid w:val="00F71310"/>
    <w:pPr>
      <w:ind w:left="720"/>
      <w:contextualSpacing/>
    </w:pPr>
  </w:style>
  <w:style w:type="character" w:styleId="IntenseEmphasis">
    <w:name w:val="Intense Emphasis"/>
    <w:basedOn w:val="DefaultParagraphFont"/>
    <w:uiPriority w:val="21"/>
    <w:qFormat/>
    <w:rsid w:val="00F71310"/>
    <w:rPr>
      <w:i/>
      <w:iCs/>
      <w:color w:val="0F4761" w:themeColor="accent1" w:themeShade="BF"/>
    </w:rPr>
  </w:style>
  <w:style w:type="paragraph" w:styleId="IntenseQuote">
    <w:name w:val="Intense Quote"/>
    <w:basedOn w:val="Normal"/>
    <w:next w:val="Normal"/>
    <w:link w:val="IntenseQuoteChar"/>
    <w:uiPriority w:val="30"/>
    <w:qFormat/>
    <w:rsid w:val="00F7131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F71310"/>
    <w:rPr>
      <w:i/>
      <w:iCs/>
      <w:color w:val="0F4761" w:themeColor="accent1" w:themeShade="BF"/>
    </w:rPr>
  </w:style>
  <w:style w:type="character" w:styleId="IntenseReference">
    <w:name w:val="Intense Reference"/>
    <w:basedOn w:val="DefaultParagraphFont"/>
    <w:uiPriority w:val="32"/>
    <w:qFormat/>
    <w:rsid w:val="00F71310"/>
    <w:rPr>
      <w:b/>
      <w:bCs/>
      <w:smallCaps/>
      <w:color w:val="0F4761" w:themeColor="accent1" w:themeShade="BF"/>
      <w:spacing w:val="5"/>
    </w:rPr>
  </w:style>
  <w:style w:type="paragraph" w:styleId="Footer">
    <w:name w:val="footer"/>
    <w:basedOn w:val="Normal"/>
    <w:link w:val="FooterChar"/>
    <w:uiPriority w:val="99"/>
    <w:unhideWhenUsed/>
    <w:rsid w:val="00143852"/>
    <w:pPr>
      <w:tabs>
        <w:tab w:val="center" w:pos="4513"/>
        <w:tab w:val="right" w:pos="9026"/>
      </w:tabs>
      <w:spacing w:after="0" w:line="240" w:lineRule="auto"/>
    </w:pPr>
  </w:style>
  <w:style w:type="character" w:customStyle="1" w:styleId="FooterChar">
    <w:name w:val="Footer Char"/>
    <w:basedOn w:val="DefaultParagraphFont"/>
    <w:link w:val="Footer"/>
    <w:uiPriority w:val="99"/>
    <w:rsid w:val="00143852"/>
  </w:style>
  <w:style w:type="character" w:styleId="PageNumber">
    <w:name w:val="page number"/>
    <w:basedOn w:val="DefaultParagraphFont"/>
    <w:uiPriority w:val="99"/>
    <w:semiHidden/>
    <w:unhideWhenUsed/>
    <w:rsid w:val="00143852"/>
  </w:style>
  <w:style w:type="paragraph" w:styleId="FootnoteText">
    <w:name w:val="footnote text"/>
    <w:basedOn w:val="Normal"/>
    <w:link w:val="FootnoteTextChar"/>
    <w:uiPriority w:val="99"/>
    <w:semiHidden/>
    <w:unhideWhenUsed/>
    <w:rsid w:val="00080AA8"/>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080AA8"/>
    <w:rPr>
      <w:sz w:val="20"/>
      <w:szCs w:val="20"/>
    </w:rPr>
  </w:style>
  <w:style w:type="character" w:styleId="FootnoteReference">
    <w:name w:val="footnote reference"/>
    <w:basedOn w:val="DefaultParagraphFont"/>
    <w:uiPriority w:val="99"/>
    <w:semiHidden/>
    <w:unhideWhenUsed/>
    <w:rsid w:val="00080AA8"/>
    <w:rPr>
      <w:vertAlign w:val="superscript"/>
    </w:rPr>
  </w:style>
  <w:style w:type="paragraph" w:styleId="Bibliography">
    <w:name w:val="Bibliography"/>
    <w:basedOn w:val="Normal"/>
    <w:next w:val="Normal"/>
    <w:uiPriority w:val="37"/>
    <w:unhideWhenUsed/>
    <w:rsid w:val="006F4688"/>
    <w:pPr>
      <w:spacing w:after="240" w:line="240" w:lineRule="auto"/>
      <w:ind w:left="720" w:hanging="720"/>
    </w:pPr>
  </w:style>
  <w:style w:type="character" w:styleId="CommentReference">
    <w:name w:val="annotation reference"/>
    <w:basedOn w:val="DefaultParagraphFont"/>
    <w:uiPriority w:val="99"/>
    <w:semiHidden/>
    <w:unhideWhenUsed/>
    <w:rsid w:val="00C75477"/>
    <w:rPr>
      <w:sz w:val="16"/>
      <w:szCs w:val="16"/>
    </w:rPr>
  </w:style>
  <w:style w:type="paragraph" w:styleId="CommentText">
    <w:name w:val="annotation text"/>
    <w:basedOn w:val="Normal"/>
    <w:link w:val="CommentTextChar"/>
    <w:uiPriority w:val="99"/>
    <w:semiHidden/>
    <w:unhideWhenUsed/>
    <w:rsid w:val="00C75477"/>
    <w:pPr>
      <w:spacing w:line="240" w:lineRule="auto"/>
    </w:pPr>
    <w:rPr>
      <w:sz w:val="20"/>
      <w:szCs w:val="20"/>
    </w:rPr>
  </w:style>
  <w:style w:type="character" w:customStyle="1" w:styleId="CommentTextChar">
    <w:name w:val="Comment Text Char"/>
    <w:basedOn w:val="DefaultParagraphFont"/>
    <w:link w:val="CommentText"/>
    <w:uiPriority w:val="99"/>
    <w:semiHidden/>
    <w:rsid w:val="00C75477"/>
    <w:rPr>
      <w:sz w:val="20"/>
      <w:szCs w:val="20"/>
    </w:rPr>
  </w:style>
  <w:style w:type="paragraph" w:styleId="CommentSubject">
    <w:name w:val="annotation subject"/>
    <w:basedOn w:val="CommentText"/>
    <w:next w:val="CommentText"/>
    <w:link w:val="CommentSubjectChar"/>
    <w:uiPriority w:val="99"/>
    <w:semiHidden/>
    <w:unhideWhenUsed/>
    <w:rsid w:val="00C75477"/>
    <w:rPr>
      <w:b/>
      <w:bCs/>
    </w:rPr>
  </w:style>
  <w:style w:type="character" w:customStyle="1" w:styleId="CommentSubjectChar">
    <w:name w:val="Comment Subject Char"/>
    <w:basedOn w:val="CommentTextChar"/>
    <w:link w:val="CommentSubject"/>
    <w:uiPriority w:val="99"/>
    <w:semiHidden/>
    <w:rsid w:val="00C75477"/>
    <w:rPr>
      <w:b/>
      <w:bCs/>
      <w:sz w:val="20"/>
      <w:szCs w:val="20"/>
    </w:rPr>
  </w:style>
  <w:style w:type="paragraph" w:styleId="Header">
    <w:name w:val="header"/>
    <w:basedOn w:val="Normal"/>
    <w:link w:val="HeaderChar"/>
    <w:uiPriority w:val="99"/>
    <w:unhideWhenUsed/>
    <w:rsid w:val="00571C0F"/>
    <w:pPr>
      <w:tabs>
        <w:tab w:val="center" w:pos="4513"/>
        <w:tab w:val="right" w:pos="9026"/>
      </w:tabs>
      <w:spacing w:after="0" w:line="240" w:lineRule="auto"/>
    </w:pPr>
  </w:style>
  <w:style w:type="character" w:customStyle="1" w:styleId="HeaderChar">
    <w:name w:val="Header Char"/>
    <w:basedOn w:val="DefaultParagraphFont"/>
    <w:link w:val="Header"/>
    <w:uiPriority w:val="99"/>
    <w:rsid w:val="00571C0F"/>
  </w:style>
  <w:style w:type="paragraph" w:customStyle="1" w:styleId="p1">
    <w:name w:val="p1"/>
    <w:basedOn w:val="Normal"/>
    <w:rsid w:val="00CA1C66"/>
    <w:pPr>
      <w:spacing w:after="0" w:line="240" w:lineRule="auto"/>
    </w:pPr>
    <w:rPr>
      <w:rFonts w:ascii="Helvetica" w:eastAsia="Times New Roman" w:hAnsi="Helvetica"/>
      <w:color w:val="141413"/>
      <w:sz w:val="18"/>
      <w:szCs w:val="18"/>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3A2639F8-16F3-B046-9104-0DD5CFCC11AC}">
  <we:reference id="wa200001011" version="1.2.0.0" store="en-GB" storeType="OMEX"/>
  <we:alternateReferences>
    <we:reference id="WA200001011" version="1.2.0.0" store="" storeType="OMEX"/>
  </we:alternateReferences>
  <we:properties/>
  <we:bindings/>
  <we:snapshot xmlns:r="http://schemas.openxmlformats.org/officeDocument/2006/relationships"/>
</we:webextension>
</file>

<file path=docProps/app.xml><?xml version="1.0" encoding="utf-8"?>
<Properties xmlns="http://schemas.openxmlformats.org/officeDocument/2006/extended-properties" xmlns:vt="http://schemas.openxmlformats.org/officeDocument/2006/docPropsVTypes">
  <Template>Normal</Template>
  <TotalTime>396</TotalTime>
  <Pages>10</Pages>
  <Words>3084</Words>
  <Characters>18135</Characters>
  <Application>Microsoft Office Word</Application>
  <DocSecurity>0</DocSecurity>
  <Lines>292</Lines>
  <Paragraphs>69</Paragraphs>
  <ScaleCrop>false</ScaleCrop>
  <Company/>
  <LinksUpToDate>false</LinksUpToDate>
  <CharactersWithSpaces>21150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MacKenzie McCowan</dc:creator>
  <cp:keywords/>
  <dc:description/>
  <cp:lastModifiedBy>Vanah Montgomery</cp:lastModifiedBy>
  <cp:revision>917</cp:revision>
  <dcterms:created xsi:type="dcterms:W3CDTF">2025-08-19T05:16:00Z</dcterms:created>
  <dcterms:modified xsi:type="dcterms:W3CDTF">2025-12-10T22:54:00Z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zotero-version="7.0.24"&gt;&lt;session id="tKuXpLyR"/&gt;&lt;style id="http://www.zotero.org/styles/chicago-notes-bibliography-17th-edition" locale="en-AU" hasBibliography="1" bibliographyStyleHasBeenSet="1"/&gt;&lt;prefs&gt;&lt;pref name="fieldType" value</vt:lpwstr>
  </property>
  <property fmtid="{D5CDD505-2E9C-101B-9397-08002B2CF9AE}" pid="3" name="ZOTERO_PREF_2">
    <vt:lpwstr>="Field"/&gt;&lt;pref name="automaticJournalAbbreviations" value="true"/&gt;&lt;pref name="noteType" value="1"/&gt;&lt;/prefs&gt;&lt;/data&gt;</vt:lpwstr>
  </property>
  <property fmtid="{D5CDD505-2E9C-101B-9397-08002B2CF9AE}" pid="4" name="grammarly_documentId">
    <vt:lpwstr>documentId_8494</vt:lpwstr>
  </property>
  <property fmtid="{D5CDD505-2E9C-101B-9397-08002B2CF9AE}" pid="5" name="grammarly_documentContext">
    <vt:lpwstr>{"goals":[],"domain":"general","emotions":[],"dialect":"australian"}</vt:lpwstr>
  </property>
</Properties>
</file>