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7537CE6" w14:textId="769E8FEF" w:rsidR="002849A4" w:rsidRDefault="002849A4" w:rsidP="007E53E1">
      <w:pPr>
        <w:spacing w:line="480" w:lineRule="auto"/>
        <w:rPr>
          <w:b/>
          <w:bCs/>
        </w:rPr>
      </w:pPr>
      <w:r w:rsidRPr="008D5499">
        <w:rPr>
          <w:b/>
          <w:bCs/>
        </w:rPr>
        <w:t>A survey of Australian public attitudes towards funding of high cost cancer medicines</w:t>
      </w:r>
      <w:r w:rsidR="00B50C96">
        <w:rPr>
          <w:b/>
          <w:bCs/>
        </w:rPr>
        <w:t>.</w:t>
      </w:r>
    </w:p>
    <w:p w14:paraId="7687F434" w14:textId="77777777" w:rsidR="00277524" w:rsidRPr="00277524" w:rsidRDefault="00277524" w:rsidP="00277524">
      <w:pPr>
        <w:spacing w:after="120" w:line="276" w:lineRule="auto"/>
        <w:jc w:val="left"/>
        <w:outlineLvl w:val="0"/>
        <w:rPr>
          <w:rFonts w:eastAsia="Calibri" w:cs="Times New Roman"/>
          <w:szCs w:val="24"/>
          <w:lang w:val="en-GB"/>
        </w:rPr>
      </w:pPr>
      <w:r w:rsidRPr="00277524">
        <w:rPr>
          <w:rFonts w:eastAsia="Calibri" w:cs="Times New Roman"/>
          <w:szCs w:val="24"/>
          <w:lang w:val="en-GB"/>
        </w:rPr>
        <w:t>Narcyz Ghinea</w:t>
      </w:r>
      <w:r w:rsidRPr="00277524">
        <w:rPr>
          <w:rFonts w:eastAsia="Calibri" w:cs="Times New Roman"/>
          <w:szCs w:val="24"/>
          <w:vertAlign w:val="superscript"/>
          <w:lang w:val="en-GB"/>
        </w:rPr>
        <w:t>1</w:t>
      </w:r>
      <w:r w:rsidRPr="00277524">
        <w:rPr>
          <w:rFonts w:eastAsia="Calibri" w:cs="Times New Roman"/>
          <w:szCs w:val="24"/>
          <w:lang w:val="en-GB"/>
        </w:rPr>
        <w:t>, Christine Critchley</w:t>
      </w:r>
      <w:r w:rsidRPr="00277524">
        <w:rPr>
          <w:rFonts w:eastAsia="Calibri" w:cs="Times New Roman"/>
          <w:szCs w:val="24"/>
          <w:vertAlign w:val="superscript"/>
          <w:lang w:val="en-GB"/>
        </w:rPr>
        <w:t>2</w:t>
      </w:r>
      <w:r w:rsidRPr="00277524">
        <w:rPr>
          <w:rFonts w:eastAsia="Calibri" w:cs="Times New Roman"/>
          <w:szCs w:val="24"/>
          <w:lang w:val="en-GB"/>
        </w:rPr>
        <w:t>, Bronwen Morrell</w:t>
      </w:r>
      <w:r w:rsidRPr="00277524">
        <w:rPr>
          <w:rFonts w:eastAsia="Calibri" w:cs="Times New Roman"/>
          <w:szCs w:val="24"/>
          <w:vertAlign w:val="superscript"/>
          <w:lang w:val="en-GB"/>
        </w:rPr>
        <w:t>1</w:t>
      </w:r>
      <w:r w:rsidRPr="00277524">
        <w:rPr>
          <w:rFonts w:eastAsia="Calibri" w:cs="Times New Roman"/>
          <w:szCs w:val="24"/>
          <w:lang w:val="en-GB"/>
        </w:rPr>
        <w:t>, Ian Kerridge</w:t>
      </w:r>
      <w:r w:rsidRPr="00277524">
        <w:rPr>
          <w:rFonts w:eastAsia="Calibri" w:cs="Times New Roman"/>
          <w:szCs w:val="24"/>
          <w:vertAlign w:val="superscript"/>
          <w:lang w:val="en-GB"/>
        </w:rPr>
        <w:t>1,3</w:t>
      </w:r>
      <w:r w:rsidRPr="00277524">
        <w:rPr>
          <w:rFonts w:eastAsia="Calibri" w:cs="Times New Roman"/>
          <w:szCs w:val="24"/>
          <w:lang w:val="en-GB"/>
        </w:rPr>
        <w:t>, Terry Campbell</w:t>
      </w:r>
      <w:r w:rsidRPr="00277524">
        <w:rPr>
          <w:rFonts w:eastAsia="Calibri" w:cs="Times New Roman"/>
          <w:szCs w:val="24"/>
          <w:vertAlign w:val="superscript"/>
          <w:lang w:val="en-GB"/>
        </w:rPr>
        <w:t>4,5</w:t>
      </w:r>
      <w:r w:rsidRPr="00277524">
        <w:rPr>
          <w:rFonts w:eastAsia="Calibri" w:cs="Times New Roman"/>
          <w:szCs w:val="24"/>
          <w:lang w:val="en-GB"/>
        </w:rPr>
        <w:t>, Richard Day</w:t>
      </w:r>
      <w:r w:rsidRPr="00277524">
        <w:rPr>
          <w:rFonts w:eastAsia="Calibri" w:cs="Times New Roman"/>
          <w:szCs w:val="24"/>
          <w:vertAlign w:val="superscript"/>
          <w:lang w:val="en-GB"/>
        </w:rPr>
        <w:t>6</w:t>
      </w:r>
      <w:r w:rsidRPr="00277524">
        <w:rPr>
          <w:rFonts w:eastAsia="Calibri" w:cs="Times New Roman"/>
          <w:szCs w:val="24"/>
          <w:lang w:val="en-GB"/>
        </w:rPr>
        <w:t>, Madlen Gazarian</w:t>
      </w:r>
      <w:r w:rsidRPr="00277524">
        <w:rPr>
          <w:rFonts w:eastAsia="Calibri" w:cs="Times New Roman"/>
          <w:szCs w:val="24"/>
          <w:vertAlign w:val="superscript"/>
          <w:lang w:val="en-GB"/>
        </w:rPr>
        <w:t>4</w:t>
      </w:r>
      <w:r w:rsidRPr="00277524">
        <w:rPr>
          <w:rFonts w:eastAsia="Calibri" w:cs="Times New Roman"/>
          <w:szCs w:val="24"/>
          <w:lang w:val="en-GB"/>
        </w:rPr>
        <w:t>, David Isaacs</w:t>
      </w:r>
      <w:r w:rsidRPr="00277524">
        <w:rPr>
          <w:rFonts w:eastAsia="Calibri" w:cs="Times New Roman"/>
          <w:szCs w:val="24"/>
          <w:vertAlign w:val="superscript"/>
          <w:lang w:val="en-GB"/>
        </w:rPr>
        <w:t>7,8</w:t>
      </w:r>
      <w:r w:rsidRPr="00277524">
        <w:rPr>
          <w:rFonts w:eastAsia="Calibri" w:cs="Times New Roman"/>
          <w:szCs w:val="24"/>
          <w:lang w:val="en-GB"/>
        </w:rPr>
        <w:t>, Winston Liauw</w:t>
      </w:r>
      <w:r w:rsidRPr="00277524">
        <w:rPr>
          <w:rFonts w:eastAsia="Calibri" w:cs="Times New Roman"/>
          <w:szCs w:val="24"/>
          <w:vertAlign w:val="superscript"/>
          <w:lang w:val="en-GB"/>
        </w:rPr>
        <w:t>9</w:t>
      </w:r>
      <w:r w:rsidRPr="00277524">
        <w:rPr>
          <w:rFonts w:eastAsia="Calibri" w:cs="Times New Roman"/>
          <w:szCs w:val="24"/>
          <w:lang w:val="en-GB"/>
        </w:rPr>
        <w:t>, Ian Olver</w:t>
      </w:r>
      <w:r w:rsidRPr="00277524">
        <w:rPr>
          <w:rFonts w:eastAsia="Calibri" w:cs="Times New Roman"/>
          <w:szCs w:val="24"/>
          <w:vertAlign w:val="superscript"/>
          <w:lang w:val="en-GB"/>
        </w:rPr>
        <w:t>10</w:t>
      </w:r>
      <w:r w:rsidRPr="00277524">
        <w:rPr>
          <w:rFonts w:eastAsia="Calibri" w:cs="Times New Roman"/>
          <w:szCs w:val="24"/>
          <w:lang w:val="en-GB"/>
        </w:rPr>
        <w:t>, Jessica Pace</w:t>
      </w:r>
      <w:r w:rsidRPr="00277524">
        <w:rPr>
          <w:rFonts w:eastAsia="Calibri" w:cs="Times New Roman"/>
          <w:szCs w:val="24"/>
          <w:vertAlign w:val="superscript"/>
          <w:lang w:val="en-GB"/>
        </w:rPr>
        <w:t>1</w:t>
      </w:r>
      <w:r w:rsidRPr="00277524">
        <w:rPr>
          <w:rFonts w:eastAsia="Calibri" w:cs="Times New Roman"/>
          <w:szCs w:val="24"/>
          <w:lang w:val="en-GB"/>
        </w:rPr>
        <w:t>, Sallie Pearson</w:t>
      </w:r>
      <w:r w:rsidRPr="00277524">
        <w:rPr>
          <w:rFonts w:eastAsia="Calibri" w:cs="Times New Roman"/>
          <w:szCs w:val="24"/>
          <w:vertAlign w:val="superscript"/>
          <w:lang w:val="en-GB"/>
        </w:rPr>
        <w:t>11,12</w:t>
      </w:r>
      <w:r w:rsidRPr="00277524">
        <w:rPr>
          <w:rFonts w:eastAsia="Calibri" w:cs="Times New Roman"/>
          <w:szCs w:val="24"/>
          <w:lang w:val="en-GB"/>
        </w:rPr>
        <w:t>, Glenn Salkeld</w:t>
      </w:r>
      <w:r w:rsidRPr="00277524">
        <w:rPr>
          <w:rFonts w:eastAsia="Calibri" w:cs="Times New Roman"/>
          <w:szCs w:val="24"/>
          <w:vertAlign w:val="superscript"/>
          <w:lang w:val="en-GB"/>
        </w:rPr>
        <w:t>13</w:t>
      </w:r>
      <w:r w:rsidRPr="00277524">
        <w:rPr>
          <w:rFonts w:eastAsia="Calibri" w:cs="Times New Roman"/>
          <w:szCs w:val="24"/>
          <w:lang w:val="en-GB"/>
        </w:rPr>
        <w:t>, Wendy Lipworth</w:t>
      </w:r>
      <w:r w:rsidRPr="00277524">
        <w:rPr>
          <w:rFonts w:eastAsia="Calibri" w:cs="Times New Roman"/>
          <w:szCs w:val="24"/>
          <w:vertAlign w:val="superscript"/>
          <w:lang w:val="en-GB"/>
        </w:rPr>
        <w:t>1</w:t>
      </w:r>
      <w:r w:rsidRPr="00277524">
        <w:rPr>
          <w:rFonts w:eastAsia="Calibri" w:cs="Times New Roman"/>
          <w:szCs w:val="24"/>
          <w:lang w:val="en-GB"/>
        </w:rPr>
        <w:t>.</w:t>
      </w:r>
    </w:p>
    <w:p w14:paraId="58B05EE8"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1</w:t>
      </w:r>
      <w:r w:rsidRPr="00277524">
        <w:rPr>
          <w:rFonts w:eastAsia="Calibri" w:cs="Times New Roman"/>
          <w:szCs w:val="24"/>
          <w:lang w:val="en-GB"/>
        </w:rPr>
        <w:t xml:space="preserve"> The University of Sydney, School of Public Health, Sydney Health Ethics, NSW 2006, Australia.</w:t>
      </w:r>
    </w:p>
    <w:p w14:paraId="0135D967"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2 </w:t>
      </w:r>
      <w:r w:rsidRPr="00277524">
        <w:rPr>
          <w:rFonts w:eastAsia="Calibri" w:cs="Times New Roman"/>
          <w:szCs w:val="24"/>
          <w:lang w:val="en-GB"/>
        </w:rPr>
        <w:t>Swinburne University of Technology, School of Health Sciences, Department of Psychology, VIC 3122, Australia.</w:t>
      </w:r>
    </w:p>
    <w:p w14:paraId="09E20635"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3 </w:t>
      </w:r>
      <w:r w:rsidRPr="00277524">
        <w:rPr>
          <w:rFonts w:eastAsia="Calibri" w:cs="Times New Roman"/>
          <w:szCs w:val="24"/>
          <w:lang w:val="en-GB"/>
        </w:rPr>
        <w:t>Haematology Department, Royal North Shore Hospital, St Leonards, NSW 2065, Australia</w:t>
      </w:r>
    </w:p>
    <w:p w14:paraId="3F14E52A"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4 </w:t>
      </w:r>
      <w:r w:rsidRPr="00277524">
        <w:rPr>
          <w:rFonts w:eastAsia="Calibri" w:cs="Times New Roman"/>
          <w:szCs w:val="24"/>
          <w:lang w:val="en-GB"/>
        </w:rPr>
        <w:t>UNSW Sydney, Faculty of Medicine, NSW 2052, Australia.</w:t>
      </w:r>
    </w:p>
    <w:p w14:paraId="1FA84D4C"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5 </w:t>
      </w:r>
      <w:r w:rsidRPr="00277524">
        <w:rPr>
          <w:rFonts w:eastAsia="Calibri" w:cs="Times New Roman"/>
          <w:szCs w:val="24"/>
          <w:lang w:val="en-GB"/>
        </w:rPr>
        <w:t>St Vincent’s Hospital Sydney, NSW 2010, Australia.</w:t>
      </w:r>
    </w:p>
    <w:p w14:paraId="16AA0DEA"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6 </w:t>
      </w:r>
      <w:r w:rsidRPr="00277524">
        <w:rPr>
          <w:rFonts w:eastAsia="Calibri" w:cs="Times New Roman"/>
          <w:szCs w:val="24"/>
          <w:lang w:val="en-GB"/>
        </w:rPr>
        <w:t xml:space="preserve">UNSW Sydney, St Vincent’s Clinical School, NSW 2010, Australia. </w:t>
      </w:r>
    </w:p>
    <w:p w14:paraId="14E4916B"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7 </w:t>
      </w:r>
      <w:r w:rsidRPr="00277524">
        <w:rPr>
          <w:rFonts w:eastAsia="Calibri" w:cs="Times New Roman"/>
          <w:szCs w:val="24"/>
          <w:lang w:val="en-GB"/>
        </w:rPr>
        <w:t>The University of Sydney, Faculty of Medicine and Health, NSW 2050, Australia.</w:t>
      </w:r>
    </w:p>
    <w:p w14:paraId="1FAB6D52"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8 </w:t>
      </w:r>
      <w:r w:rsidRPr="00277524">
        <w:rPr>
          <w:rFonts w:eastAsia="Calibri" w:cs="Times New Roman"/>
          <w:szCs w:val="24"/>
          <w:lang w:val="en-GB"/>
        </w:rPr>
        <w:t xml:space="preserve">The Children’s Hospital at </w:t>
      </w:r>
      <w:proofErr w:type="spellStart"/>
      <w:r w:rsidRPr="00277524">
        <w:rPr>
          <w:rFonts w:eastAsia="Calibri" w:cs="Times New Roman"/>
          <w:szCs w:val="24"/>
          <w:lang w:val="en-GB"/>
        </w:rPr>
        <w:t>Westmead</w:t>
      </w:r>
      <w:proofErr w:type="spellEnd"/>
      <w:r w:rsidRPr="00277524">
        <w:rPr>
          <w:rFonts w:eastAsia="Calibri" w:cs="Times New Roman"/>
          <w:szCs w:val="24"/>
          <w:lang w:val="en-GB"/>
        </w:rPr>
        <w:t>, NSW 2145, Australia.</w:t>
      </w:r>
    </w:p>
    <w:p w14:paraId="0E8DA627"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9 </w:t>
      </w:r>
      <w:r w:rsidRPr="00277524">
        <w:rPr>
          <w:rFonts w:eastAsia="Calibri" w:cs="Times New Roman"/>
          <w:szCs w:val="24"/>
          <w:lang w:val="en-GB"/>
        </w:rPr>
        <w:t>UNSW Sydney, St George and Sutherland Clinical School, NSW 2217, Australia.</w:t>
      </w:r>
    </w:p>
    <w:p w14:paraId="6B2BE4F5"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10 </w:t>
      </w:r>
      <w:r w:rsidRPr="00277524">
        <w:rPr>
          <w:rFonts w:eastAsia="Calibri" w:cs="Times New Roman"/>
          <w:szCs w:val="24"/>
          <w:lang w:val="en-GB"/>
        </w:rPr>
        <w:t>The University of Adelaide, Faculty of Health and Medical Sciences, School of Psychology.</w:t>
      </w:r>
    </w:p>
    <w:p w14:paraId="0DFB6D17"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11 </w:t>
      </w:r>
      <w:r w:rsidRPr="00277524">
        <w:rPr>
          <w:rFonts w:eastAsia="Calibri" w:cs="Times New Roman"/>
          <w:szCs w:val="24"/>
          <w:lang w:val="en-GB"/>
        </w:rPr>
        <w:t>UNSW Sydney, Centre for Big Data Research in Health, NSW 2052, Australia.</w:t>
      </w:r>
    </w:p>
    <w:p w14:paraId="0194B5FE"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12 </w:t>
      </w:r>
      <w:r w:rsidRPr="00277524">
        <w:rPr>
          <w:rFonts w:eastAsia="Calibri" w:cs="Times New Roman"/>
          <w:szCs w:val="24"/>
          <w:lang w:val="en-GB"/>
        </w:rPr>
        <w:t>The University of Sydney, Faculty of Medicine and Health, Menzies Centre for Health Policy, NSW 2006, Australia.</w:t>
      </w:r>
    </w:p>
    <w:p w14:paraId="41169250" w14:textId="77777777" w:rsidR="00277524" w:rsidRPr="00277524" w:rsidRDefault="00277524" w:rsidP="00277524">
      <w:pPr>
        <w:spacing w:after="120" w:line="276" w:lineRule="auto"/>
        <w:jc w:val="left"/>
        <w:rPr>
          <w:rFonts w:eastAsia="Calibri" w:cs="Times New Roman"/>
          <w:szCs w:val="24"/>
          <w:lang w:val="en-GB"/>
        </w:rPr>
      </w:pPr>
      <w:r w:rsidRPr="00277524">
        <w:rPr>
          <w:rFonts w:eastAsia="Calibri" w:cs="Times New Roman"/>
          <w:szCs w:val="24"/>
          <w:vertAlign w:val="superscript"/>
          <w:lang w:val="en-GB"/>
        </w:rPr>
        <w:t xml:space="preserve">13 </w:t>
      </w:r>
      <w:r w:rsidRPr="00277524">
        <w:rPr>
          <w:rFonts w:eastAsia="Calibri" w:cs="Times New Roman"/>
          <w:szCs w:val="24"/>
          <w:lang w:val="en-GB"/>
        </w:rPr>
        <w:t>The University of Wollongong, Faculty of Social Sciences, NSW 2522, Australia.</w:t>
      </w:r>
    </w:p>
    <w:p w14:paraId="46717247" w14:textId="77777777" w:rsidR="00277524" w:rsidRDefault="00277524" w:rsidP="007E53E1">
      <w:pPr>
        <w:spacing w:line="480" w:lineRule="auto"/>
        <w:rPr>
          <w:b/>
          <w:bCs/>
        </w:rPr>
      </w:pPr>
    </w:p>
    <w:p w14:paraId="7379F644" w14:textId="4C1B17EB" w:rsidR="002849A4" w:rsidRPr="008D5499" w:rsidRDefault="002849A4" w:rsidP="007E53E1">
      <w:pPr>
        <w:spacing w:line="480" w:lineRule="auto"/>
        <w:rPr>
          <w:b/>
          <w:bCs/>
        </w:rPr>
      </w:pPr>
      <w:r w:rsidRPr="008D5499">
        <w:rPr>
          <w:b/>
          <w:bCs/>
        </w:rPr>
        <w:t>Abstract</w:t>
      </w:r>
    </w:p>
    <w:p w14:paraId="28E9726F" w14:textId="1666879E" w:rsidR="002849A4" w:rsidRDefault="002849A4" w:rsidP="007E53E1">
      <w:pPr>
        <w:spacing w:line="480" w:lineRule="auto"/>
      </w:pPr>
      <w:r w:rsidRPr="007B01E0">
        <w:rPr>
          <w:b/>
          <w:bCs/>
        </w:rPr>
        <w:t>Background</w:t>
      </w:r>
      <w:r>
        <w:t xml:space="preserve">: In the past decade </w:t>
      </w:r>
      <w:r w:rsidR="00D10A12">
        <w:t>many</w:t>
      </w:r>
      <w:r>
        <w:t xml:space="preserve"> </w:t>
      </w:r>
      <w:proofErr w:type="gramStart"/>
      <w:r>
        <w:t>novel</w:t>
      </w:r>
      <w:proofErr w:type="gramEnd"/>
      <w:r>
        <w:t>, and in some cases transformative, cancer medicines have entered the market. The</w:t>
      </w:r>
      <w:r w:rsidR="00D10A12">
        <w:t>ir</w:t>
      </w:r>
      <w:r>
        <w:t xml:space="preserve"> prices and the amount spent on them by governments have increased rapidly, bringing to the forefront </w:t>
      </w:r>
      <w:r w:rsidR="00D10A12">
        <w:t>t</w:t>
      </w:r>
      <w:r>
        <w:t xml:space="preserve">rade-offs that must be made. In this paper we explore the Australian public’s attitude towards the funding of high cost cancer medicines (HCCM) to inform reimbursement and health technology assessment (HTA) policy. </w:t>
      </w:r>
    </w:p>
    <w:p w14:paraId="1ED7DD2D" w14:textId="766D7D2E" w:rsidR="002849A4" w:rsidRDefault="002849A4" w:rsidP="007E53E1">
      <w:pPr>
        <w:spacing w:line="480" w:lineRule="auto"/>
      </w:pPr>
      <w:r w:rsidRPr="007B01E0">
        <w:rPr>
          <w:b/>
          <w:bCs/>
        </w:rPr>
        <w:t>Methods</w:t>
      </w:r>
      <w:r>
        <w:t xml:space="preserve">: A survey </w:t>
      </w:r>
      <w:r w:rsidRPr="00E85FEE">
        <w:t>consist</w:t>
      </w:r>
      <w:r>
        <w:t>ing</w:t>
      </w:r>
      <w:r w:rsidRPr="00E85FEE">
        <w:t xml:space="preserve"> of 49 questions about the funding of </w:t>
      </w:r>
      <w:r>
        <w:t xml:space="preserve">HCCMs was developed by the </w:t>
      </w:r>
      <w:r w:rsidR="002E1A02">
        <w:t>investigators</w:t>
      </w:r>
      <w:r>
        <w:t xml:space="preserve">. Recruitment was conducted via Qualtrics. </w:t>
      </w:r>
      <w:r w:rsidRPr="00E85FEE">
        <w:t>1,039 Australian</w:t>
      </w:r>
      <w:r>
        <w:t xml:space="preserve"> adults completed the survey.</w:t>
      </w:r>
    </w:p>
    <w:p w14:paraId="5A4CBA73" w14:textId="45E2CC2B" w:rsidR="002849A4" w:rsidRDefault="002849A4" w:rsidP="007E53E1">
      <w:pPr>
        <w:spacing w:line="480" w:lineRule="auto"/>
      </w:pPr>
      <w:r w:rsidRPr="007B01E0">
        <w:rPr>
          <w:b/>
          <w:bCs/>
        </w:rPr>
        <w:lastRenderedPageBreak/>
        <w:t xml:space="preserve">Results: </w:t>
      </w:r>
      <w:r>
        <w:t xml:space="preserve">The Australian public overwhelmingly supports funding of HCCMs </w:t>
      </w:r>
      <w:r w:rsidRPr="00497F0C">
        <w:t>(95.5%)</w:t>
      </w:r>
      <w:r>
        <w:t xml:space="preserve"> to enhance equity of access</w:t>
      </w:r>
      <w:r w:rsidRPr="00497F0C">
        <w:t xml:space="preserve"> (97.8%), </w:t>
      </w:r>
      <w:r>
        <w:t xml:space="preserve">and to </w:t>
      </w:r>
      <w:r w:rsidRPr="00497F0C">
        <w:t>respond to patients’ needs (98%)</w:t>
      </w:r>
      <w:r>
        <w:t xml:space="preserve">. </w:t>
      </w:r>
      <w:r w:rsidR="00460C30">
        <w:t>When</w:t>
      </w:r>
      <w:r>
        <w:t xml:space="preserve"> respondents were challenged to balance equity versus access in different contexts inconsistencies emerged. Different demographic factors were important in predicting support for various strategies.</w:t>
      </w:r>
    </w:p>
    <w:p w14:paraId="4C99A2F8" w14:textId="2382E199" w:rsidR="002849A4" w:rsidRDefault="002849A4" w:rsidP="007E53E1">
      <w:pPr>
        <w:spacing w:line="480" w:lineRule="auto"/>
      </w:pPr>
      <w:r w:rsidRPr="007B01E0">
        <w:rPr>
          <w:b/>
          <w:bCs/>
        </w:rPr>
        <w:t>Conclusion:</w:t>
      </w:r>
      <w:r>
        <w:t xml:space="preserve"> Our results suggest that the Australia</w:t>
      </w:r>
      <w:r w:rsidRPr="0015765E">
        <w:t xml:space="preserve">n public </w:t>
      </w:r>
      <w:r>
        <w:t xml:space="preserve">strongly </w:t>
      </w:r>
      <w:r w:rsidRPr="0015765E">
        <w:t xml:space="preserve">supports government funding of </w:t>
      </w:r>
      <w:r>
        <w:t>HCCMs</w:t>
      </w:r>
      <w:r w:rsidRPr="0015765E">
        <w:t xml:space="preserve"> and value</w:t>
      </w:r>
      <w:r>
        <w:t xml:space="preserve">s </w:t>
      </w:r>
      <w:r w:rsidRPr="0015765E">
        <w:t>both equity and access</w:t>
      </w:r>
      <w:r>
        <w:t xml:space="preserve">. Equally, however, the public is uncertain about how </w:t>
      </w:r>
      <w:r w:rsidR="002E1A02">
        <w:t>equity and access</w:t>
      </w:r>
      <w:r>
        <w:t xml:space="preserve"> are to be balanced and achieved, and such ambivalence needs to be both further explored and accommodated in policy processes.</w:t>
      </w:r>
      <w:r w:rsidR="00CF591E">
        <w:t xml:space="preserve"> Our results </w:t>
      </w:r>
      <w:r w:rsidR="00F26A21">
        <w:t>may</w:t>
      </w:r>
      <w:r w:rsidR="00CF591E">
        <w:t xml:space="preserve"> be used by policymakers in Australia, and countries with similar systems and values, to </w:t>
      </w:r>
      <w:r w:rsidR="001C4F9B">
        <w:t xml:space="preserve">further develop </w:t>
      </w:r>
      <w:r w:rsidR="00F26A21">
        <w:t>policies and processes for funding</w:t>
      </w:r>
      <w:r w:rsidR="00CF591E">
        <w:t xml:space="preserve"> HCCMs.</w:t>
      </w:r>
    </w:p>
    <w:p w14:paraId="3D0DF217" w14:textId="0A05D642" w:rsidR="007E53E1" w:rsidRDefault="00791806" w:rsidP="007E53E1">
      <w:pPr>
        <w:spacing w:line="480" w:lineRule="auto"/>
        <w:rPr>
          <w:b/>
          <w:bCs/>
        </w:rPr>
      </w:pPr>
      <w:r>
        <w:rPr>
          <w:b/>
          <w:bCs/>
        </w:rPr>
        <w:t xml:space="preserve">Keywords: </w:t>
      </w:r>
      <w:r w:rsidR="00701CDB" w:rsidRPr="00701CDB">
        <w:t>health equity; access to health care; health insurance; cancer; health care technology; high-cost medicines.</w:t>
      </w:r>
    </w:p>
    <w:p w14:paraId="22DF851E" w14:textId="77777777" w:rsidR="002849A4" w:rsidRDefault="002849A4" w:rsidP="007E53E1">
      <w:pPr>
        <w:spacing w:line="480" w:lineRule="auto"/>
        <w:rPr>
          <w:b/>
          <w:bCs/>
        </w:rPr>
      </w:pPr>
      <w:bookmarkStart w:id="0" w:name="_GoBack"/>
      <w:bookmarkEnd w:id="0"/>
      <w:r>
        <w:rPr>
          <w:b/>
          <w:bCs/>
        </w:rPr>
        <w:t>Manuscript Main Text</w:t>
      </w:r>
    </w:p>
    <w:p w14:paraId="74028FCF" w14:textId="77777777" w:rsidR="002849A4" w:rsidRPr="008D5499" w:rsidRDefault="002849A4" w:rsidP="007E53E1">
      <w:pPr>
        <w:spacing w:line="480" w:lineRule="auto"/>
        <w:rPr>
          <w:b/>
          <w:bCs/>
        </w:rPr>
      </w:pPr>
      <w:r>
        <w:rPr>
          <w:b/>
          <w:bCs/>
        </w:rPr>
        <w:t>INTRODUCTION</w:t>
      </w:r>
    </w:p>
    <w:p w14:paraId="2153F615" w14:textId="77F13508" w:rsidR="002849A4" w:rsidRDefault="002849A4" w:rsidP="007E53E1">
      <w:pPr>
        <w:spacing w:line="480" w:lineRule="auto"/>
      </w:pPr>
      <w:r>
        <w:t>In high income countries and some middle-income countries, cancer has overtaken cardiovascular disease as the leading cause of death</w:t>
      </w:r>
      <w:r>
        <w:rPr>
          <w:noProof/>
        </w:rPr>
        <w:t>(</w:t>
      </w:r>
      <w:r w:rsidRPr="0015765E">
        <w:t>1</w:t>
      </w:r>
      <w:r>
        <w:rPr>
          <w:noProof/>
        </w:rPr>
        <w:t>)</w:t>
      </w:r>
      <w:r>
        <w:t>. More people are also surviving longer with cancer, with the 5-year relative survival rate for all cancers in Australia increasing from 50% in 1986-1990 to 69% in 2011-2015</w:t>
      </w:r>
      <w:r>
        <w:rPr>
          <w:noProof/>
        </w:rPr>
        <w:t>(2)</w:t>
      </w:r>
      <w:r>
        <w:t xml:space="preserve">. </w:t>
      </w:r>
      <w:r w:rsidR="00440A75">
        <w:t>A range of factors have contributed to this increase including better surgical and medical</w:t>
      </w:r>
      <w:r w:rsidR="005B55D2">
        <w:t xml:space="preserve"> interventions</w:t>
      </w:r>
      <w:r w:rsidR="00440A75">
        <w:t xml:space="preserve">, as well as better and earlier diagnosis. </w:t>
      </w:r>
      <w:r w:rsidR="005B55D2">
        <w:t>M</w:t>
      </w:r>
      <w:r w:rsidR="00440A75">
        <w:t xml:space="preserve">odelling suggests </w:t>
      </w:r>
      <w:r w:rsidR="005B55D2">
        <w:t>that cancer drug innovation</w:t>
      </w:r>
      <w:r w:rsidR="00440A75">
        <w:t xml:space="preserve"> could be responsible for up to 40%</w:t>
      </w:r>
      <w:r w:rsidR="005B55D2">
        <w:t xml:space="preserve"> of the observed increase</w:t>
      </w:r>
      <w:r w:rsidR="00E23F34">
        <w:t xml:space="preserve"> </w:t>
      </w:r>
      <w:r w:rsidR="00E23F34" w:rsidRPr="00A40E75">
        <w:t>(3)</w:t>
      </w:r>
      <w:r w:rsidR="005B55D2" w:rsidRPr="00A40E75">
        <w:t>.</w:t>
      </w:r>
      <w:r w:rsidR="00440A75" w:rsidRPr="00A40E75">
        <w:t xml:space="preserve"> </w:t>
      </w:r>
      <w:r w:rsidR="00F26A21" w:rsidRPr="00A40E75">
        <w:t>At</w:t>
      </w:r>
      <w:r w:rsidR="00F26A21">
        <w:t xml:space="preserve"> the same time,</w:t>
      </w:r>
      <w:r>
        <w:t xml:space="preserve"> the prices of </w:t>
      </w:r>
      <w:r w:rsidR="00F26A21">
        <w:t xml:space="preserve">many </w:t>
      </w:r>
      <w:r w:rsidR="005B55D2">
        <w:t xml:space="preserve">newer </w:t>
      </w:r>
      <w:r w:rsidR="005C3655">
        <w:t xml:space="preserve">cancer </w:t>
      </w:r>
      <w:r>
        <w:t xml:space="preserve">medicines </w:t>
      </w:r>
      <w:proofErr w:type="gramStart"/>
      <w:r>
        <w:t>has</w:t>
      </w:r>
      <w:proofErr w:type="gramEnd"/>
      <w:r>
        <w:t xml:space="preserve"> increased rapidly, with some costing more than $AUD500,000 per treatment</w:t>
      </w:r>
      <w:r>
        <w:rPr>
          <w:noProof/>
        </w:rPr>
        <w:t>(</w:t>
      </w:r>
      <w:r w:rsidR="000E3940">
        <w:rPr>
          <w:noProof/>
        </w:rPr>
        <w:t>4</w:t>
      </w:r>
      <w:r>
        <w:rPr>
          <w:noProof/>
        </w:rPr>
        <w:t>)</w:t>
      </w:r>
      <w:r>
        <w:t>. In the decade up to 2012, spending on cancer medicines in Australia increased by 19% per annum, while the price per prescription rose 133%</w:t>
      </w:r>
      <w:r>
        <w:rPr>
          <w:noProof/>
        </w:rPr>
        <w:t>(</w:t>
      </w:r>
      <w:r w:rsidR="000E3940">
        <w:rPr>
          <w:noProof/>
        </w:rPr>
        <w:t>5</w:t>
      </w:r>
      <w:r>
        <w:rPr>
          <w:noProof/>
        </w:rPr>
        <w:t>)</w:t>
      </w:r>
      <w:r>
        <w:t xml:space="preserve">. In 2018-2019 the Australian government spent approximately $4.4 billion on antineoplastic and immunomodulating agents, accounting for </w:t>
      </w:r>
      <w:r>
        <w:lastRenderedPageBreak/>
        <w:t>approximately 34% of Australia’s national pharmaceutical insurance scheme</w:t>
      </w:r>
      <w:r>
        <w:rPr>
          <w:noProof/>
        </w:rPr>
        <w:t>(</w:t>
      </w:r>
      <w:r w:rsidR="000E3940">
        <w:rPr>
          <w:noProof/>
        </w:rPr>
        <w:t>6</w:t>
      </w:r>
      <w:r>
        <w:rPr>
          <w:noProof/>
        </w:rPr>
        <w:t>)</w:t>
      </w:r>
      <w:r>
        <w:t>. Novel cancer medicines are also often approved based on less evidence than other medicines</w:t>
      </w:r>
      <w:r>
        <w:rPr>
          <w:noProof/>
        </w:rPr>
        <w:t>(</w:t>
      </w:r>
      <w:r w:rsidR="000E3940">
        <w:t>7</w:t>
      </w:r>
      <w:r>
        <w:rPr>
          <w:noProof/>
        </w:rPr>
        <w:t>)</w:t>
      </w:r>
      <w:r>
        <w:t xml:space="preserve">. While this may enhance access </w:t>
      </w:r>
      <w:r w:rsidR="002E1A02">
        <w:t>for</w:t>
      </w:r>
      <w:r>
        <w:t xml:space="preserve"> patients who have few, if any, other options, it increases the probability that adverse effects will be missed, and that early promises of efficacy will not translate into clinical practice</w:t>
      </w:r>
      <w:r>
        <w:rPr>
          <w:noProof/>
        </w:rPr>
        <w:t>(</w:t>
      </w:r>
      <w:r w:rsidR="000E3940">
        <w:rPr>
          <w:noProof/>
        </w:rPr>
        <w:t>8</w:t>
      </w:r>
      <w:r w:rsidRPr="00185F16">
        <w:rPr>
          <w:noProof/>
        </w:rPr>
        <w:t>-</w:t>
      </w:r>
      <w:r w:rsidR="000E3940">
        <w:rPr>
          <w:noProof/>
        </w:rPr>
        <w:t>10</w:t>
      </w:r>
      <w:r>
        <w:rPr>
          <w:noProof/>
        </w:rPr>
        <w:t>)</w:t>
      </w:r>
      <w:r>
        <w:t>.</w:t>
      </w:r>
      <w:r w:rsidR="005B55D2">
        <w:t xml:space="preserve"> As a case in point, one study found that only 51% of cancer drugs approved by the European Medicines Agency between 2009 and 2013 could demonstrate significant improvements in survival or quality of life</w:t>
      </w:r>
      <w:r w:rsidR="005C3655">
        <w:t xml:space="preserve"> after an average of 5.4 years of follow-up</w:t>
      </w:r>
      <w:r w:rsidR="005B55D2">
        <w:t xml:space="preserve"> (</w:t>
      </w:r>
      <w:r w:rsidR="000E3940">
        <w:t>10</w:t>
      </w:r>
      <w:r w:rsidR="005B55D2">
        <w:t>).</w:t>
      </w:r>
      <w:r>
        <w:t xml:space="preserve"> </w:t>
      </w:r>
    </w:p>
    <w:p w14:paraId="36CCDB96" w14:textId="77777777" w:rsidR="00727A73" w:rsidRDefault="00727A73" w:rsidP="007E53E1">
      <w:pPr>
        <w:spacing w:line="480" w:lineRule="auto"/>
      </w:pPr>
    </w:p>
    <w:p w14:paraId="7C78CE22" w14:textId="5443FF74" w:rsidR="002849A4" w:rsidRDefault="002849A4" w:rsidP="007E53E1">
      <w:pPr>
        <w:spacing w:line="480" w:lineRule="auto"/>
      </w:pPr>
      <w:r>
        <w:t>The funding of expensive cancer medicines by public insurers), raises a series of important questions regarding who should fund medicines, which medicines should be funded and who should make these decisions. Importantly, these questions are not simply technical ones, but political and ethical ones that reflect social values and goals. For this reason, health technology assessment agencies throughout the world are increasingly seeking to involve the public and patients in their assessment activities and to take account of their values</w:t>
      </w:r>
      <w:r>
        <w:rPr>
          <w:noProof/>
        </w:rPr>
        <w:t>(</w:t>
      </w:r>
      <w:r w:rsidRPr="00185F16">
        <w:t>1</w:t>
      </w:r>
      <w:r w:rsidR="000E3940">
        <w:t>1</w:t>
      </w:r>
      <w:r>
        <w:rPr>
          <w:noProof/>
        </w:rPr>
        <w:t>)</w:t>
      </w:r>
      <w:r>
        <w:t xml:space="preserve">. </w:t>
      </w:r>
    </w:p>
    <w:p w14:paraId="5E4A2CEC" w14:textId="77777777" w:rsidR="00727A73" w:rsidRDefault="00727A73" w:rsidP="007E53E1">
      <w:pPr>
        <w:spacing w:line="480" w:lineRule="auto"/>
      </w:pPr>
    </w:p>
    <w:p w14:paraId="60B7F8BB" w14:textId="37A4BF02" w:rsidR="00923B5F" w:rsidRDefault="005C3655" w:rsidP="005C3655">
      <w:pPr>
        <w:spacing w:line="480" w:lineRule="auto"/>
      </w:pPr>
      <w:r>
        <w:t xml:space="preserve">In Australia, before a </w:t>
      </w:r>
      <w:r w:rsidR="00124702">
        <w:t xml:space="preserve">pharmaceutical company </w:t>
      </w:r>
      <w:r>
        <w:t xml:space="preserve">can </w:t>
      </w:r>
      <w:r w:rsidR="00593FE5">
        <w:t xml:space="preserve">market </w:t>
      </w:r>
      <w:r w:rsidR="00F26A21">
        <w:t xml:space="preserve">a medicine, </w:t>
      </w:r>
      <w:r>
        <w:t>it must be evaluated and approved by the Therapeutic Goods Administration</w:t>
      </w:r>
      <w:r w:rsidR="00B51F35">
        <w:t xml:space="preserve"> (TGA)</w:t>
      </w:r>
      <w:r>
        <w:t xml:space="preserve">. Approved medicines are included in the Australian Register of Therapeutic Goods (ARTG). </w:t>
      </w:r>
      <w:r w:rsidR="008E4136">
        <w:t>Following ARTG listing</w:t>
      </w:r>
      <w:r w:rsidR="00F26A21">
        <w:t>,</w:t>
      </w:r>
      <w:r w:rsidR="008E4136">
        <w:t xml:space="preserve"> a </w:t>
      </w:r>
      <w:r w:rsidR="00124702">
        <w:t xml:space="preserve">company </w:t>
      </w:r>
      <w:r w:rsidR="008E4136">
        <w:t>can seek</w:t>
      </w:r>
      <w:r w:rsidR="00593FE5">
        <w:t xml:space="preserve"> government subsidy for their medicines </w:t>
      </w:r>
      <w:r w:rsidR="008E4136">
        <w:t>via</w:t>
      </w:r>
      <w:r w:rsidR="00593FE5">
        <w:t xml:space="preserve"> the Pharmaceutical Benefits Scheme (PBS). Applications for </w:t>
      </w:r>
      <w:r w:rsidR="008E4136">
        <w:t>inclusion in this scheme</w:t>
      </w:r>
      <w:r w:rsidR="00593FE5">
        <w:t xml:space="preserve"> are evaluated by the Pharmaceutical Benefits Advisory Committee</w:t>
      </w:r>
      <w:r w:rsidR="009F2696">
        <w:t xml:space="preserve"> (PBAC)</w:t>
      </w:r>
      <w:r w:rsidR="00593FE5">
        <w:t xml:space="preserve">, and only </w:t>
      </w:r>
      <w:r w:rsidR="00F26A21">
        <w:t>medicines</w:t>
      </w:r>
      <w:r w:rsidR="00593FE5">
        <w:t xml:space="preserve"> recommend</w:t>
      </w:r>
      <w:r w:rsidR="00F26A21">
        <w:t>ed</w:t>
      </w:r>
      <w:r w:rsidR="00593FE5">
        <w:t xml:space="preserve"> by this Committee may be funded by the government. </w:t>
      </w:r>
      <w:r w:rsidR="00124702">
        <w:t xml:space="preserve">Pharmaceutical companies </w:t>
      </w:r>
      <w:r w:rsidR="008E4136">
        <w:t>may also have their medicines assessed for approval and subsidy in parallel, however any final PBS listing must be consistent with the final TGA decision.</w:t>
      </w:r>
      <w:r w:rsidR="00923B5F">
        <w:t xml:space="preserve"> </w:t>
      </w:r>
    </w:p>
    <w:p w14:paraId="43301893" w14:textId="77777777" w:rsidR="00727A73" w:rsidRDefault="00727A73" w:rsidP="005C3655">
      <w:pPr>
        <w:spacing w:line="480" w:lineRule="auto"/>
      </w:pPr>
    </w:p>
    <w:p w14:paraId="58FB8A9A" w14:textId="79DDF300" w:rsidR="00F26A21" w:rsidRDefault="00923B5F" w:rsidP="007E53E1">
      <w:pPr>
        <w:spacing w:line="480" w:lineRule="auto"/>
      </w:pPr>
      <w:r>
        <w:t xml:space="preserve">Medicines not </w:t>
      </w:r>
      <w:r w:rsidR="009F2696">
        <w:t xml:space="preserve">listed on the ARTG </w:t>
      </w:r>
      <w:r>
        <w:t xml:space="preserve">may be accessible via other means, including the Special Access Scheme which allows physicians to </w:t>
      </w:r>
      <w:r w:rsidR="009F2696">
        <w:t xml:space="preserve">apply for </w:t>
      </w:r>
      <w:r>
        <w:t xml:space="preserve">use </w:t>
      </w:r>
      <w:r w:rsidR="009F2696">
        <w:t xml:space="preserve">of </w:t>
      </w:r>
      <w:r>
        <w:t xml:space="preserve">medicines not listed in the ARTG on a case-by-case basis; the </w:t>
      </w:r>
      <w:proofErr w:type="spellStart"/>
      <w:r>
        <w:t>Authorised</w:t>
      </w:r>
      <w:proofErr w:type="spellEnd"/>
      <w:r>
        <w:t xml:space="preserve"> Prescriber Program which provides specific permission to a medical professional to prescribe specified unlisted medicines; and via the Personal Importation Scheme which allows patients to import their own supply of medicines under certain conditions. Patients can also access medicines via clinical trials. The PBS does not </w:t>
      </w:r>
      <w:proofErr w:type="spellStart"/>
      <w:r>
        <w:t>subsidise</w:t>
      </w:r>
      <w:proofErr w:type="spellEnd"/>
      <w:r>
        <w:t xml:space="preserve"> medicines accessed via these pathways. Non-PBS listed medicines must be </w:t>
      </w:r>
      <w:proofErr w:type="spellStart"/>
      <w:r>
        <w:t>subsidised</w:t>
      </w:r>
      <w:proofErr w:type="spellEnd"/>
      <w:r>
        <w:t xml:space="preserve"> by individuals, via public hospitals, or provided on compassionate grounds by industry.</w:t>
      </w:r>
      <w:r w:rsidR="009F2696">
        <w:t xml:space="preserve"> Private insurance companies in Australia may cover some pharmaceutical items not covered by the PBS. </w:t>
      </w:r>
      <w:r w:rsidR="00F26A21">
        <w:t>As o</w:t>
      </w:r>
      <w:r w:rsidR="009F2696">
        <w:t>nly medicines that are PBS listed are universally available to Australians</w:t>
      </w:r>
      <w:r w:rsidR="00CC6A9A">
        <w:t xml:space="preserve">, </w:t>
      </w:r>
      <w:r w:rsidR="009F2696">
        <w:t xml:space="preserve">how </w:t>
      </w:r>
      <w:r w:rsidR="009D2982">
        <w:t xml:space="preserve">these </w:t>
      </w:r>
      <w:r w:rsidR="009F2696">
        <w:t>subsidy decisions are made</w:t>
      </w:r>
      <w:r w:rsidR="009D2982">
        <w:t xml:space="preserve"> is</w:t>
      </w:r>
      <w:r w:rsidR="00F26A21">
        <w:t xml:space="preserve"> an</w:t>
      </w:r>
      <w:r w:rsidR="009D2982">
        <w:t xml:space="preserve"> important</w:t>
      </w:r>
      <w:r w:rsidR="00F26A21">
        <w:t xml:space="preserve"> public policy and ethical issue</w:t>
      </w:r>
      <w:r w:rsidR="00CC6A9A">
        <w:t>.</w:t>
      </w:r>
      <w:r w:rsidR="009F2696">
        <w:t xml:space="preserve"> </w:t>
      </w:r>
    </w:p>
    <w:p w14:paraId="52C04C26" w14:textId="77777777" w:rsidR="00727A73" w:rsidRDefault="00727A73" w:rsidP="007E53E1">
      <w:pPr>
        <w:spacing w:line="480" w:lineRule="auto"/>
      </w:pPr>
    </w:p>
    <w:p w14:paraId="39B9776D" w14:textId="3E5AE86B" w:rsidR="002849A4" w:rsidRDefault="00F26A21" w:rsidP="007E53E1">
      <w:pPr>
        <w:spacing w:line="480" w:lineRule="auto"/>
      </w:pPr>
      <w:r>
        <w:t xml:space="preserve">In recognition of the political and moral significance of its decisions, </w:t>
      </w:r>
      <w:r w:rsidR="009F2696">
        <w:t xml:space="preserve">PBAC </w:t>
      </w:r>
      <w:r>
        <w:t>has</w:t>
      </w:r>
      <w:r w:rsidR="009F2696">
        <w:t xml:space="preserve"> committed to “</w:t>
      </w:r>
      <w:r w:rsidR="009F2696" w:rsidRPr="009F2696">
        <w:t>understanding consumer perspectives, and integrating them into its consideration of medicines and vaccines</w:t>
      </w:r>
      <w:r w:rsidR="009F2696">
        <w:t>”</w:t>
      </w:r>
      <w:r w:rsidR="00CC6A9A">
        <w:t>, and has introduced a web portal that allows citizens to comment on applications under consideration</w:t>
      </w:r>
      <w:r w:rsidR="000E3940">
        <w:t xml:space="preserve"> (12, 13).</w:t>
      </w:r>
      <w:r w:rsidR="00CC6A9A">
        <w:t xml:space="preserve"> Th</w:t>
      </w:r>
      <w:r w:rsidR="009D2982">
        <w:t xml:space="preserve">is commitment aligns </w:t>
      </w:r>
      <w:r w:rsidR="00CC6A9A">
        <w:t xml:space="preserve">with the view that health technology assessment and resource allocation decisions should </w:t>
      </w:r>
      <w:r w:rsidR="00827BC9">
        <w:t>be consistent with the values and attitudes of those who are governed</w:t>
      </w:r>
      <w:r>
        <w:t xml:space="preserve"> </w:t>
      </w:r>
      <w:r w:rsidR="00827BC9">
        <w:t xml:space="preserve">and is therefore not merely a technical </w:t>
      </w:r>
      <w:r w:rsidR="00827BC9" w:rsidRPr="000E3940">
        <w:t>exercise (</w:t>
      </w:r>
      <w:r w:rsidR="00E23F34" w:rsidRPr="000E3940">
        <w:t>1</w:t>
      </w:r>
      <w:r w:rsidR="000E3940" w:rsidRPr="000E3940">
        <w:t>4</w:t>
      </w:r>
      <w:r w:rsidR="00E23F34" w:rsidRPr="000E3940">
        <w:t>, 1</w:t>
      </w:r>
      <w:r w:rsidR="000E3940" w:rsidRPr="000E3940">
        <w:t>5</w:t>
      </w:r>
      <w:r w:rsidR="00827BC9" w:rsidRPr="000E3940">
        <w:t xml:space="preserve">). </w:t>
      </w:r>
      <w:r w:rsidR="00873E4A" w:rsidRPr="000E3940">
        <w:t>While th</w:t>
      </w:r>
      <w:r w:rsidR="002849A4" w:rsidRPr="000E3940">
        <w:t>ere is an extensive body of research exploring consumers’ priorities for reso</w:t>
      </w:r>
      <w:r w:rsidR="002849A4">
        <w:t>urce allocation</w:t>
      </w:r>
      <w:r w:rsidR="002849A4" w:rsidRPr="00640AAE">
        <w:t xml:space="preserve"> </w:t>
      </w:r>
      <w:r w:rsidR="002849A4">
        <w:t>(i.e. what kinds of technologies should and should not be funded) and a growing body of work examining methods for consumer engagement</w:t>
      </w:r>
      <w:r w:rsidR="002849A4">
        <w:rPr>
          <w:noProof/>
        </w:rPr>
        <w:t>(</w:t>
      </w:r>
      <w:r w:rsidR="002849A4" w:rsidRPr="00185F16">
        <w:t>1</w:t>
      </w:r>
      <w:r w:rsidR="000E3940">
        <w:t>6</w:t>
      </w:r>
      <w:r w:rsidR="002849A4" w:rsidRPr="00185F16">
        <w:t>-</w:t>
      </w:r>
      <w:r w:rsidR="000E3940">
        <w:t>21</w:t>
      </w:r>
      <w:r w:rsidR="002849A4">
        <w:rPr>
          <w:noProof/>
        </w:rPr>
        <w:t>)</w:t>
      </w:r>
      <w:r w:rsidR="00873E4A">
        <w:t>,</w:t>
      </w:r>
      <w:r w:rsidR="00AD7808">
        <w:t>there are n</w:t>
      </w:r>
      <w:r w:rsidR="009F2696">
        <w:t xml:space="preserve">o studies </w:t>
      </w:r>
      <w:r>
        <w:t xml:space="preserve">that have </w:t>
      </w:r>
      <w:r w:rsidR="002849A4">
        <w:t>explor</w:t>
      </w:r>
      <w:r>
        <w:t>ed</w:t>
      </w:r>
      <w:r w:rsidR="002849A4">
        <w:t xml:space="preserve"> consumers’ views about the systems that are in place to a</w:t>
      </w:r>
      <w:r w:rsidR="00AD7808">
        <w:t xml:space="preserve">ccess </w:t>
      </w:r>
      <w:r w:rsidR="002849A4">
        <w:t xml:space="preserve"> and allocate resources </w:t>
      </w:r>
      <w:r w:rsidR="00AD7808">
        <w:t xml:space="preserve">specifically </w:t>
      </w:r>
      <w:r w:rsidR="002849A4">
        <w:t>for cancer medicines</w:t>
      </w:r>
      <w:r w:rsidR="009F2696">
        <w:t xml:space="preserve"> in the Australian context</w:t>
      </w:r>
      <w:r w:rsidR="002849A4">
        <w:t xml:space="preserve">. In this paper we report </w:t>
      </w:r>
      <w:r w:rsidR="002849A4">
        <w:lastRenderedPageBreak/>
        <w:t xml:space="preserve">on the results of the first survey that explores the Australian general public’s views about </w:t>
      </w:r>
      <w:r>
        <w:t xml:space="preserve">processes for </w:t>
      </w:r>
      <w:r w:rsidR="002849A4">
        <w:t>the funding of, and access to, high cost cancer medicines</w:t>
      </w:r>
      <w:r w:rsidR="002B7DCA">
        <w:t>.</w:t>
      </w:r>
    </w:p>
    <w:p w14:paraId="1B275622" w14:textId="77777777" w:rsidR="002849A4" w:rsidRDefault="002849A4" w:rsidP="007E53E1">
      <w:pPr>
        <w:spacing w:line="480" w:lineRule="auto"/>
      </w:pPr>
    </w:p>
    <w:p w14:paraId="4F201F68" w14:textId="77777777" w:rsidR="002849A4" w:rsidRPr="008D5499" w:rsidRDefault="002849A4" w:rsidP="007E53E1">
      <w:pPr>
        <w:spacing w:line="480" w:lineRule="auto"/>
        <w:rPr>
          <w:b/>
          <w:bCs/>
        </w:rPr>
      </w:pPr>
      <w:r>
        <w:rPr>
          <w:b/>
          <w:bCs/>
        </w:rPr>
        <w:t>METHODS</w:t>
      </w:r>
    </w:p>
    <w:p w14:paraId="1E61B672" w14:textId="77777777" w:rsidR="002849A4" w:rsidRPr="008D5499" w:rsidRDefault="002849A4" w:rsidP="007E53E1">
      <w:pPr>
        <w:pStyle w:val="Heading4"/>
        <w:spacing w:line="480" w:lineRule="auto"/>
        <w:rPr>
          <w:b w:val="0"/>
          <w:bCs w:val="0"/>
          <w:i/>
          <w:iCs w:val="0"/>
        </w:rPr>
      </w:pPr>
      <w:r w:rsidRPr="008D5499">
        <w:rPr>
          <w:b w:val="0"/>
          <w:bCs w:val="0"/>
          <w:i/>
          <w:iCs w:val="0"/>
        </w:rPr>
        <w:t>Survey</w:t>
      </w:r>
    </w:p>
    <w:p w14:paraId="25A0E8D7" w14:textId="035F152B" w:rsidR="002849A4" w:rsidRDefault="002849A4" w:rsidP="007E53E1">
      <w:pPr>
        <w:spacing w:line="480" w:lineRule="auto"/>
      </w:pPr>
      <w:r w:rsidRPr="00C95606">
        <w:t xml:space="preserve">The </w:t>
      </w:r>
      <w:r>
        <w:t xml:space="preserve">survey consisted of 49 fixed choice questions </w:t>
      </w:r>
      <w:r w:rsidRPr="00C95606">
        <w:t xml:space="preserve">about the funding of </w:t>
      </w:r>
      <w:r>
        <w:t>high cost cancer medicines (</w:t>
      </w:r>
      <w:r w:rsidRPr="00C95606">
        <w:t>HCCMs</w:t>
      </w:r>
      <w:r>
        <w:t>)</w:t>
      </w:r>
      <w:r w:rsidRPr="00C95606">
        <w:t xml:space="preserve"> by government, pricing, co-payment, access, and the decision-making process for funding. Additionally, respondents were asked a series of questions relating to their socio-demographic</w:t>
      </w:r>
      <w:r>
        <w:t xml:space="preserve"> background, including age, gender, education, income, cultural background, marital status and political orientation. </w:t>
      </w:r>
      <w:r w:rsidRPr="00762DBE">
        <w:t xml:space="preserve">Data relating to health status, family cancer history, personal cancer history, beliefs in public health care systems, current use of prescription medicines and private health insurance were recorded.  </w:t>
      </w:r>
      <w:r>
        <w:t xml:space="preserve">An initial pool of questions was constructed by a team of three survey design and content experts. Informed by the literature, questions were designed to reflect the themes of government funding, price negotiation and funding arrangements, equity and access, advocacy and decision making, and media portrayal. Questions were refined, deleted and altered after testing for readability, content and face validity in an iterative process amongst the survey design and content experts. </w:t>
      </w:r>
      <w:r w:rsidR="00F26A21">
        <w:t>P</w:t>
      </w:r>
      <w:r w:rsidR="00674D4F" w:rsidRPr="00674D4F">
        <w:t>ilot test</w:t>
      </w:r>
      <w:r w:rsidR="00674D4F">
        <w:t>ing</w:t>
      </w:r>
      <w:r w:rsidR="00674D4F" w:rsidRPr="00674D4F">
        <w:t xml:space="preserve"> </w:t>
      </w:r>
      <w:r w:rsidR="00F26A21">
        <w:t>was conducted with</w:t>
      </w:r>
      <w:r w:rsidR="00674D4F" w:rsidRPr="00674D4F">
        <w:t xml:space="preserve"> 103 members of the public (i.e. the first 10% of the total sample to complete the survey) to check interpretability and validity before it was released to the wider sample. Descriptive statistics and validation checks revealed no major problems with lack of variation in responses (i.e. problematic distributions) or high numbers of missing values. </w:t>
      </w:r>
      <w:r>
        <w:t xml:space="preserve">Respondents were provided with background information prior to the questions about </w:t>
      </w:r>
      <w:r>
        <w:rPr>
          <w:rFonts w:cstheme="minorHAnsi"/>
        </w:rPr>
        <w:t>g</w:t>
      </w:r>
      <w:r w:rsidRPr="00BB770B">
        <w:rPr>
          <w:rFonts w:cstheme="minorHAnsi"/>
        </w:rPr>
        <w:t>overnment funding</w:t>
      </w:r>
      <w:r>
        <w:rPr>
          <w:rFonts w:cstheme="minorHAnsi"/>
        </w:rPr>
        <w:t xml:space="preserve">, pricing </w:t>
      </w:r>
      <w:r w:rsidRPr="00BB770B">
        <w:rPr>
          <w:rFonts w:cstheme="minorHAnsi"/>
        </w:rPr>
        <w:t>of cancer medications</w:t>
      </w:r>
      <w:r>
        <w:rPr>
          <w:rFonts w:cstheme="minorHAnsi"/>
        </w:rPr>
        <w:t xml:space="preserve">, access to cancer medicines and clinical trials. </w:t>
      </w:r>
      <w:r w:rsidR="00B50C96">
        <w:rPr>
          <w:rFonts w:cstheme="minorHAnsi"/>
        </w:rPr>
        <w:t>In this information</w:t>
      </w:r>
      <w:r w:rsidR="00B50C96" w:rsidRPr="00B50C96">
        <w:rPr>
          <w:rFonts w:cstheme="minorHAnsi"/>
        </w:rPr>
        <w:t xml:space="preserve"> we describe </w:t>
      </w:r>
      <w:r w:rsidR="00B50C96">
        <w:rPr>
          <w:rFonts w:cstheme="minorHAnsi"/>
        </w:rPr>
        <w:t xml:space="preserve">“high cost” medicines as </w:t>
      </w:r>
      <w:bookmarkStart w:id="1" w:name="_Hlk40703005"/>
      <w:r w:rsidR="00B50C96">
        <w:rPr>
          <w:rFonts w:cstheme="minorHAnsi"/>
        </w:rPr>
        <w:t>those</w:t>
      </w:r>
      <w:r w:rsidR="00B50C96" w:rsidRPr="00B50C96">
        <w:rPr>
          <w:rFonts w:cstheme="minorHAnsi"/>
        </w:rPr>
        <w:t xml:space="preserve"> that can cost “tens or </w:t>
      </w:r>
      <w:r w:rsidR="00B50C96" w:rsidRPr="00B50C96">
        <w:rPr>
          <w:rFonts w:cstheme="minorHAnsi"/>
        </w:rPr>
        <w:lastRenderedPageBreak/>
        <w:t>hundreds of thousands of dollars for one patient for one year of treatment”</w:t>
      </w:r>
      <w:r w:rsidR="00B50C96">
        <w:rPr>
          <w:rFonts w:cstheme="minorHAnsi"/>
        </w:rPr>
        <w:t xml:space="preserve">. </w:t>
      </w:r>
      <w:bookmarkEnd w:id="1"/>
      <w:r>
        <w:rPr>
          <w:rFonts w:cstheme="minorHAnsi"/>
        </w:rPr>
        <w:t xml:space="preserve">This information, together with the full survey, is available in supplementary materials. </w:t>
      </w:r>
    </w:p>
    <w:p w14:paraId="29114724" w14:textId="77777777" w:rsidR="002849A4" w:rsidRPr="008D5499" w:rsidRDefault="002849A4" w:rsidP="007E53E1">
      <w:pPr>
        <w:pStyle w:val="Heading4"/>
        <w:spacing w:line="480" w:lineRule="auto"/>
        <w:rPr>
          <w:b w:val="0"/>
          <w:bCs w:val="0"/>
          <w:i/>
          <w:iCs w:val="0"/>
        </w:rPr>
      </w:pPr>
      <w:r w:rsidRPr="008D5499">
        <w:rPr>
          <w:b w:val="0"/>
          <w:bCs w:val="0"/>
          <w:i/>
          <w:iCs w:val="0"/>
        </w:rPr>
        <w:t>Sample and Procedure</w:t>
      </w:r>
    </w:p>
    <w:p w14:paraId="16E2EB0D" w14:textId="77777777" w:rsidR="002849A4" w:rsidRPr="005D0350" w:rsidRDefault="002849A4" w:rsidP="007E53E1">
      <w:pPr>
        <w:spacing w:line="480" w:lineRule="auto"/>
      </w:pPr>
      <w:r>
        <w:t xml:space="preserve">In August 2018, </w:t>
      </w:r>
      <w:r w:rsidRPr="00C95606" w:rsidDel="0085046C">
        <w:t>1,039 Australian</w:t>
      </w:r>
      <w:r>
        <w:t>s over the age of 18 years</w:t>
      </w:r>
      <w:r w:rsidRPr="00C95606" w:rsidDel="0085046C">
        <w:t xml:space="preserve"> completed the </w:t>
      </w:r>
      <w:r>
        <w:t>online “Australian Attitudes Towards the Funding of High Cost Cancer Medicines S</w:t>
      </w:r>
      <w:r w:rsidRPr="00C95606" w:rsidDel="0085046C">
        <w:t>urvey</w:t>
      </w:r>
      <w:r>
        <w:t>”</w:t>
      </w:r>
      <w:r w:rsidRPr="00C95606" w:rsidDel="0085046C">
        <w:t xml:space="preserve">. </w:t>
      </w:r>
      <w:r w:rsidRPr="005D0350">
        <w:t xml:space="preserve">Respondents </w:t>
      </w:r>
      <w:r>
        <w:t xml:space="preserve">were </w:t>
      </w:r>
      <w:r w:rsidRPr="005D0350">
        <w:t xml:space="preserve">recruited </w:t>
      </w:r>
      <w:r>
        <w:t xml:space="preserve">by Qualtrics, a professional recruiting company, </w:t>
      </w:r>
      <w:r w:rsidRPr="005D0350">
        <w:t xml:space="preserve">from panels of individuals who have </w:t>
      </w:r>
      <w:r w:rsidRPr="00C215A6">
        <w:t xml:space="preserve">agreed to complete research projects for a small </w:t>
      </w:r>
      <w:r w:rsidR="0018321F" w:rsidRPr="00C215A6">
        <w:t>incentive</w:t>
      </w:r>
      <w:r w:rsidRPr="00C215A6">
        <w:t xml:space="preserve">. In order to ensure that the research population was matched to the Australian </w:t>
      </w:r>
      <w:r w:rsidR="00D87FE5" w:rsidRPr="00C215A6">
        <w:t xml:space="preserve">adult </w:t>
      </w:r>
      <w:r w:rsidRPr="00C215A6">
        <w:t>population,</w:t>
      </w:r>
      <w:r>
        <w:rPr>
          <w:rFonts w:cs="Times New Roman"/>
          <w:szCs w:val="24"/>
        </w:rPr>
        <w:t xml:space="preserve"> Australian Bureau of Statistics (ABS) statistics were employed for gender, age group, education, state and household income. </w:t>
      </w:r>
    </w:p>
    <w:p w14:paraId="1A600354" w14:textId="77777777" w:rsidR="002849A4" w:rsidRDefault="002849A4" w:rsidP="007E53E1">
      <w:pPr>
        <w:spacing w:line="480" w:lineRule="auto"/>
      </w:pPr>
    </w:p>
    <w:p w14:paraId="706C6A6E" w14:textId="40932252" w:rsidR="002849A4" w:rsidRDefault="002849A4" w:rsidP="007E53E1">
      <w:pPr>
        <w:spacing w:line="480" w:lineRule="auto"/>
      </w:pPr>
      <w:r>
        <w:t>Compared to census data from the Australian Bureau of Statistics (ABS)</w:t>
      </w:r>
      <w:r>
        <w:rPr>
          <w:noProof/>
        </w:rPr>
        <w:t>(</w:t>
      </w:r>
      <w:r w:rsidR="00A40E75">
        <w:rPr>
          <w:noProof/>
        </w:rPr>
        <w:t>22</w:t>
      </w:r>
      <w:r>
        <w:rPr>
          <w:noProof/>
        </w:rPr>
        <w:t xml:space="preserve">, </w:t>
      </w:r>
      <w:r w:rsidR="00A40E75">
        <w:rPr>
          <w:noProof/>
        </w:rPr>
        <w:t>23</w:t>
      </w:r>
      <w:r>
        <w:rPr>
          <w:noProof/>
        </w:rPr>
        <w:t>)</w:t>
      </w:r>
      <w:r>
        <w:t>, t</w:t>
      </w:r>
      <w:r w:rsidRPr="00752E87">
        <w:t xml:space="preserve">he sample </w:t>
      </w:r>
      <w:r w:rsidRPr="006C68E2">
        <w:t>was representative in terms</w:t>
      </w:r>
      <w:r w:rsidRPr="00DF4285">
        <w:t xml:space="preserve"> of gender (49. 4% women</w:t>
      </w:r>
      <w:r w:rsidRPr="001D1500">
        <w:t>; ABS 50.</w:t>
      </w:r>
      <w:r>
        <w:t>2%)</w:t>
      </w:r>
      <w:r w:rsidRPr="00752E87">
        <w:t>, age</w:t>
      </w:r>
      <w:r>
        <w:t xml:space="preserve"> (</w:t>
      </w:r>
      <w:r w:rsidR="002D4CA0">
        <w:t xml:space="preserve">study </w:t>
      </w:r>
      <w:r>
        <w:t>M = 45.9, SD = 17.</w:t>
      </w:r>
      <w:r w:rsidR="00C676FC">
        <w:t>8</w:t>
      </w:r>
      <w:r>
        <w:t xml:space="preserve">; </w:t>
      </w:r>
      <w:r w:rsidRPr="00442999">
        <w:t xml:space="preserve">ABS M for those aged over 18 years = 43.0, SD = </w:t>
      </w:r>
      <w:r w:rsidRPr="00DC6FFD">
        <w:t>17.</w:t>
      </w:r>
      <w:r w:rsidR="00C676FC" w:rsidRPr="00DC6FFD">
        <w:t>8</w:t>
      </w:r>
      <w:r w:rsidRPr="00DC6FFD">
        <w:t>), private</w:t>
      </w:r>
      <w:r w:rsidRPr="00752E87">
        <w:t xml:space="preserve"> health cover </w:t>
      </w:r>
      <w:r>
        <w:t>(57.</w:t>
      </w:r>
      <w:r w:rsidR="002E1A02">
        <w:t>8</w:t>
      </w:r>
      <w:r>
        <w:t xml:space="preserve">%; ABS = 57.1%) </w:t>
      </w:r>
      <w:r w:rsidRPr="00752E87">
        <w:t>and income</w:t>
      </w:r>
      <w:r>
        <w:t xml:space="preserve"> (modal pre-tax household income category = </w:t>
      </w:r>
      <w:r w:rsidRPr="00003216">
        <w:t>$78,001 to $130,000</w:t>
      </w:r>
      <w:r>
        <w:t xml:space="preserve"> for both the survey and </w:t>
      </w:r>
      <w:r w:rsidR="0018321F">
        <w:t xml:space="preserve">the population </w:t>
      </w:r>
      <w:r>
        <w:t>over 15 years)</w:t>
      </w:r>
      <w:r w:rsidRPr="00752E87">
        <w:t xml:space="preserve">. </w:t>
      </w:r>
      <w:r>
        <w:t>In response to the question, “</w:t>
      </w:r>
      <w:r w:rsidRPr="00F74564">
        <w:t>What ethnic or cultural background do you most identify with?</w:t>
      </w:r>
      <w:r>
        <w:t>”, t</w:t>
      </w:r>
      <w:r w:rsidRPr="00752E87">
        <w:t>he</w:t>
      </w:r>
      <w:r w:rsidRPr="007C0E47">
        <w:t xml:space="preserve"> majority (80.6%) </w:t>
      </w:r>
      <w:r>
        <w:t xml:space="preserve">responded </w:t>
      </w:r>
      <w:r w:rsidRPr="007C0E47">
        <w:t>Australian</w:t>
      </w:r>
      <w:r>
        <w:t xml:space="preserve">. The majority were also </w:t>
      </w:r>
      <w:r w:rsidRPr="007C0E47">
        <w:t xml:space="preserve">living as </w:t>
      </w:r>
      <w:r w:rsidR="002E1A02">
        <w:t xml:space="preserve">part of </w:t>
      </w:r>
      <w:r w:rsidRPr="007C0E47">
        <w:t xml:space="preserve">a couple (57.3%). </w:t>
      </w:r>
      <w:r>
        <w:t>Th</w:t>
      </w:r>
      <w:r w:rsidRPr="007C0E47">
        <w:t>e sample demonstrated a broad range of political ideologies with a mean score of 5.59 (SD = 1.99)</w:t>
      </w:r>
      <w:r>
        <w:t xml:space="preserve"> on the 10-point scale </w:t>
      </w:r>
      <w:bookmarkStart w:id="2" w:name="_Hlk37325206"/>
      <w:r>
        <w:t xml:space="preserve">(1=Left, 10=Right) </w:t>
      </w:r>
      <w:bookmarkEnd w:id="2"/>
      <w:r>
        <w:t>suggesting a balanced spectrum of political ideologies</w:t>
      </w:r>
      <w:r w:rsidRPr="007C0E47">
        <w:t xml:space="preserve">. </w:t>
      </w:r>
      <w:r>
        <w:rPr>
          <w:rFonts w:cs="Times New Roman"/>
          <w:szCs w:val="24"/>
        </w:rPr>
        <w:t xml:space="preserve">There was overrepresentation of those with higher education </w:t>
      </w:r>
      <w:r>
        <w:t xml:space="preserve">(52.2% of the sample had a university education compared to 24.5% of the Australian population). </w:t>
      </w:r>
      <w:r w:rsidRPr="00185F16">
        <w:t>All categories and their distributions for all demographic variables are contained in the online Supplementary material.</w:t>
      </w:r>
    </w:p>
    <w:p w14:paraId="0A3BF1A7" w14:textId="77777777" w:rsidR="002849A4" w:rsidRPr="008D5499" w:rsidRDefault="002849A4" w:rsidP="007E53E1">
      <w:pPr>
        <w:pStyle w:val="Heading4"/>
        <w:spacing w:line="480" w:lineRule="auto"/>
        <w:rPr>
          <w:b w:val="0"/>
          <w:bCs w:val="0"/>
          <w:i/>
          <w:iCs w:val="0"/>
        </w:rPr>
      </w:pPr>
      <w:r w:rsidRPr="008D5499">
        <w:rPr>
          <w:b w:val="0"/>
          <w:bCs w:val="0"/>
          <w:i/>
          <w:iCs w:val="0"/>
        </w:rPr>
        <w:lastRenderedPageBreak/>
        <w:t>Statistical Analysis</w:t>
      </w:r>
    </w:p>
    <w:p w14:paraId="38B25887" w14:textId="77777777" w:rsidR="002849A4" w:rsidRDefault="002849A4" w:rsidP="007E53E1">
      <w:pPr>
        <w:spacing w:line="480" w:lineRule="auto"/>
      </w:pPr>
      <w:r w:rsidRPr="00EC5B92">
        <w:t xml:space="preserve">All analyses were performed using SPSS Version 24. Logistic regression was used to explore differences in responses to survey items across all demographic factors as outlined above. For the purpose of analysis some variables were </w:t>
      </w:r>
      <w:r w:rsidR="00264C85" w:rsidRPr="00EC5B92">
        <w:t>dichotomized</w:t>
      </w:r>
      <w:r w:rsidRPr="00EC5B92">
        <w:t xml:space="preserve">. High income was classified as anything greater than the modal category for the population (i.e., &gt;$78,001 to $130,000)  ; education was classified as university educated or not; cultural background was classified as Australian versus other identity, and marital status was classified as those indicating they were married (42.4%) or living as married (11.1%). Age (in years), political ideology, </w:t>
      </w:r>
      <w:r w:rsidRPr="00185F16">
        <w:t>support for public health care</w:t>
      </w:r>
      <w:r w:rsidRPr="00EC5B92">
        <w:t xml:space="preserve"> (1 = strong disapproval – 4 = strong support) and health status (1 = excellent; – 1 = poor) were treated as </w:t>
      </w:r>
      <w:r w:rsidR="0018321F">
        <w:t>ordinal</w:t>
      </w:r>
      <w:r w:rsidRPr="00EC5B92">
        <w:t>. Gender, family history of cancer, personal history of cancer, whether respondents had private health insurance, and whether respondents were on medications themselves, were all treated as binary</w:t>
      </w:r>
      <w:r w:rsidR="002E1A02">
        <w:t xml:space="preserve"> measures</w:t>
      </w:r>
      <w:r w:rsidRPr="00EC5B92">
        <w:t xml:space="preserve"> (i.e., yes or no).</w:t>
      </w:r>
      <w:r>
        <w:t xml:space="preserve"> </w:t>
      </w:r>
    </w:p>
    <w:p w14:paraId="2CFB0A1C" w14:textId="77777777" w:rsidR="002849A4" w:rsidRDefault="002849A4" w:rsidP="007E53E1">
      <w:pPr>
        <w:spacing w:line="480" w:lineRule="auto"/>
      </w:pPr>
    </w:p>
    <w:p w14:paraId="35BFB08F" w14:textId="77777777" w:rsidR="002849A4" w:rsidRDefault="002849A4" w:rsidP="007E53E1">
      <w:pPr>
        <w:spacing w:line="480" w:lineRule="auto"/>
      </w:pPr>
      <w:r w:rsidRPr="00FC4B81">
        <w:t xml:space="preserve">For questions with dichotomous response categories, binomial logistic </w:t>
      </w:r>
      <w:r>
        <w:t xml:space="preserve">regression </w:t>
      </w:r>
      <w:r w:rsidRPr="00FC4B81">
        <w:t>was used and multinomial logistic regression for those with more than two response options. Ordinal logistic regression analyses were used for response</w:t>
      </w:r>
      <w:r>
        <w:t>s</w:t>
      </w:r>
      <w:r w:rsidRPr="00FC4B81">
        <w:t xml:space="preserve"> with more than two options representing ordered responses (e.g., strongly disagree, disagree, agree, strongly agree). Since the aim of the analyses was to determine the unique ability of each demographic variable to predict the response option, all were entered simultaneously into the regression models. </w:t>
      </w:r>
      <w:r w:rsidRPr="00A73B16">
        <w:t>A highly conservative alpha of 0.001 was used to indicate the statistical significance of the predictors to account for number of analyses and thus</w:t>
      </w:r>
      <w:r w:rsidR="002E1A02">
        <w:t xml:space="preserve"> reduce</w:t>
      </w:r>
      <w:r w:rsidRPr="00A73B16">
        <w:t xml:space="preserve"> the possibility of making a Type 1 error. </w:t>
      </w:r>
      <w:r>
        <w:t>To maintain statistical power, u</w:t>
      </w:r>
      <w:r w:rsidRPr="00A73B16">
        <w:t>nsure and “Prefer not to say” responses were treated as missing for all analyses</w:t>
      </w:r>
      <w:r>
        <w:t xml:space="preserve"> when minimal (&lt;10%), </w:t>
      </w:r>
      <w:r w:rsidRPr="00DF4285">
        <w:t>otherwise they were treated as a separate response category (e.g. “Yes”, “No” and “Unsure” would be treated as dichotomous if “Unsure” responses were &lt;10%, and as polychotomous if &gt; 10%).</w:t>
      </w:r>
      <w:r>
        <w:t xml:space="preserve"> All parameter estimates are available in the </w:t>
      </w:r>
      <w:r>
        <w:lastRenderedPageBreak/>
        <w:t>supplementary materials, with significant (p&lt;.001) results only reported in Table 1 (see Table S1 for all results).</w:t>
      </w:r>
    </w:p>
    <w:p w14:paraId="15E5365E" w14:textId="77777777" w:rsidR="002849A4" w:rsidRPr="008D5499" w:rsidRDefault="002849A4" w:rsidP="007E53E1">
      <w:pPr>
        <w:pStyle w:val="Heading4"/>
        <w:spacing w:line="480" w:lineRule="auto"/>
        <w:rPr>
          <w:b w:val="0"/>
          <w:bCs w:val="0"/>
          <w:i/>
          <w:iCs w:val="0"/>
        </w:rPr>
      </w:pPr>
      <w:r w:rsidRPr="008D5499">
        <w:rPr>
          <w:b w:val="0"/>
          <w:bCs w:val="0"/>
          <w:i/>
          <w:iCs w:val="0"/>
        </w:rPr>
        <w:t>Ethics Approval and Consent</w:t>
      </w:r>
    </w:p>
    <w:p w14:paraId="15637484" w14:textId="77777777" w:rsidR="002849A4" w:rsidRDefault="002849A4" w:rsidP="007E53E1">
      <w:pPr>
        <w:spacing w:line="480" w:lineRule="auto"/>
      </w:pPr>
      <w:r>
        <w:t xml:space="preserve">The study was approved by the Swinburne University Human Research Ethics Committee (approval number 2018/212). Respondents were provided with an information sheet outlining the details and ethical issues </w:t>
      </w:r>
      <w:r w:rsidRPr="00077C20">
        <w:t>associated with the survey, and only those that consented to these conditions progressed with the survey.</w:t>
      </w:r>
    </w:p>
    <w:p w14:paraId="2379A08E" w14:textId="77777777" w:rsidR="002849A4" w:rsidRDefault="002849A4" w:rsidP="007E53E1">
      <w:pPr>
        <w:pStyle w:val="Heading3"/>
        <w:spacing w:line="480" w:lineRule="auto"/>
      </w:pPr>
      <w:r>
        <w:t>Results</w:t>
      </w:r>
    </w:p>
    <w:p w14:paraId="0C112EB2" w14:textId="77777777" w:rsidR="002849A4" w:rsidRDefault="002849A4" w:rsidP="007E53E1">
      <w:pPr>
        <w:spacing w:line="480" w:lineRule="auto"/>
      </w:pPr>
    </w:p>
    <w:p w14:paraId="0A39249B" w14:textId="77777777" w:rsidR="002849A4" w:rsidRPr="008D5499" w:rsidRDefault="002849A4" w:rsidP="007E53E1">
      <w:pPr>
        <w:spacing w:line="480" w:lineRule="auto"/>
        <w:rPr>
          <w:b/>
          <w:bCs/>
        </w:rPr>
      </w:pPr>
      <w:r w:rsidRPr="008D5499">
        <w:rPr>
          <w:b/>
          <w:bCs/>
        </w:rPr>
        <w:t xml:space="preserve">Government Funding of High Cost Cancer Medicines </w:t>
      </w:r>
    </w:p>
    <w:p w14:paraId="4D3DFBCA" w14:textId="77777777" w:rsidR="002849A4" w:rsidRDefault="002849A4" w:rsidP="007E53E1">
      <w:pPr>
        <w:spacing w:line="480" w:lineRule="auto"/>
      </w:pPr>
      <w:r>
        <w:t xml:space="preserve">Participants were overwhelmingly in favor (95.5%) of government funding of HCCMs and most supported the creation of a separate fund for cancer medicines (69.2%). The reasons for this were clear and included achieving equity of access (97.8%), responding to patients’ needs (98%), and facilitating investment in research and development(88%). Many saw it as the role of government to fund access to these medicines (87.3%). </w:t>
      </w:r>
    </w:p>
    <w:p w14:paraId="5DF15809" w14:textId="77777777" w:rsidR="002849A4" w:rsidRDefault="002849A4" w:rsidP="007E53E1">
      <w:pPr>
        <w:spacing w:line="480" w:lineRule="auto"/>
      </w:pPr>
    </w:p>
    <w:p w14:paraId="0ECB4171" w14:textId="77777777" w:rsidR="002849A4" w:rsidRPr="008D5499" w:rsidRDefault="002849A4" w:rsidP="007E53E1">
      <w:pPr>
        <w:spacing w:line="480" w:lineRule="auto"/>
        <w:rPr>
          <w:b/>
          <w:bCs/>
        </w:rPr>
      </w:pPr>
      <w:r w:rsidRPr="008D5499">
        <w:rPr>
          <w:b/>
          <w:bCs/>
        </w:rPr>
        <w:t xml:space="preserve">Price Negotiation </w:t>
      </w:r>
    </w:p>
    <w:p w14:paraId="269A3C4E" w14:textId="77777777" w:rsidR="002849A4" w:rsidRDefault="002849A4" w:rsidP="007E53E1">
      <w:pPr>
        <w:spacing w:line="480" w:lineRule="auto"/>
      </w:pPr>
      <w:proofErr w:type="gramStart"/>
      <w:r>
        <w:t>A majority of</w:t>
      </w:r>
      <w:proofErr w:type="gramEnd"/>
      <w:r>
        <w:t xml:space="preserve"> participants (81.3%) agreed that access should not be delayed by price negotiations. However, in a somewhat contradictory manner, a majority (69.3%) also agreed that price negotiations should proceed even if it may lead the company withdrawing their product from the market altogether and only a minority (28.2%) of participants agreed that the government should accept the price companies set for their own medicines. </w:t>
      </w:r>
    </w:p>
    <w:p w14:paraId="06085548" w14:textId="77777777" w:rsidR="002849A4" w:rsidRDefault="002849A4" w:rsidP="007E53E1">
      <w:pPr>
        <w:spacing w:line="480" w:lineRule="auto"/>
        <w:rPr>
          <w:i/>
          <w:iCs/>
        </w:rPr>
      </w:pPr>
    </w:p>
    <w:p w14:paraId="08BC4F93" w14:textId="77777777" w:rsidR="002849A4" w:rsidRPr="008D5499" w:rsidRDefault="002849A4" w:rsidP="007E53E1">
      <w:pPr>
        <w:spacing w:line="480" w:lineRule="auto"/>
        <w:rPr>
          <w:b/>
          <w:bCs/>
        </w:rPr>
      </w:pPr>
      <w:r w:rsidRPr="008D5499">
        <w:rPr>
          <w:b/>
          <w:bCs/>
        </w:rPr>
        <w:t xml:space="preserve">Patient Co-payment </w:t>
      </w:r>
    </w:p>
    <w:p w14:paraId="3B457885" w14:textId="1D22549B" w:rsidR="002849A4" w:rsidRDefault="002849A4" w:rsidP="007E53E1">
      <w:pPr>
        <w:spacing w:line="480" w:lineRule="auto"/>
      </w:pPr>
      <w:proofErr w:type="gramStart"/>
      <w:r>
        <w:lastRenderedPageBreak/>
        <w:t>A majority of</w:t>
      </w:r>
      <w:proofErr w:type="gramEnd"/>
      <w:r>
        <w:t xml:space="preserve"> participants (62.5%) believed that patients should make a co-payment towards their cancer medicines, however most participants (70.5%) believed there should be a limit to how much patients are required to contribute. Co-payments were perceived to cause people to make more careful decisions about the medicines they take (76.4%), and more likely to take their prescribed medicines (61.6%). </w:t>
      </w:r>
    </w:p>
    <w:p w14:paraId="49148617" w14:textId="77777777" w:rsidR="00BE480A" w:rsidRDefault="00BE480A" w:rsidP="007E53E1">
      <w:pPr>
        <w:spacing w:line="480" w:lineRule="auto"/>
      </w:pPr>
    </w:p>
    <w:p w14:paraId="732D500B" w14:textId="77777777" w:rsidR="002849A4" w:rsidRPr="008D5499" w:rsidRDefault="002849A4" w:rsidP="007E53E1">
      <w:pPr>
        <w:spacing w:line="480" w:lineRule="auto"/>
        <w:rPr>
          <w:b/>
          <w:bCs/>
        </w:rPr>
      </w:pPr>
      <w:r w:rsidRPr="008D5499">
        <w:rPr>
          <w:b/>
          <w:bCs/>
        </w:rPr>
        <w:t>Funding of and Access to Unproven Cancer Medicines</w:t>
      </w:r>
    </w:p>
    <w:p w14:paraId="2C64AC02" w14:textId="77777777" w:rsidR="002849A4" w:rsidRDefault="002849A4" w:rsidP="007E53E1">
      <w:pPr>
        <w:spacing w:line="480" w:lineRule="auto"/>
      </w:pPr>
      <w:proofErr w:type="gramStart"/>
      <w:r>
        <w:t>A majority of</w:t>
      </w:r>
      <w:proofErr w:type="gramEnd"/>
      <w:r>
        <w:t xml:space="preserve"> participants (75.0%) thought that, where existing evidence is unclear, patients should only be able to access medicines through clinical trials and there was little support for government paying for these same medicines outside of a clinical trial (34.2%).  However, 42.4% of participants supported government funding of medicines not yet known to be safe, and those not yet known to be effective. </w:t>
      </w:r>
    </w:p>
    <w:p w14:paraId="2D27A5DD" w14:textId="77777777" w:rsidR="002849A4" w:rsidRDefault="002849A4" w:rsidP="007E53E1">
      <w:pPr>
        <w:spacing w:line="480" w:lineRule="auto"/>
        <w:rPr>
          <w:i/>
          <w:iCs/>
        </w:rPr>
      </w:pPr>
    </w:p>
    <w:p w14:paraId="6512E0A8" w14:textId="77777777" w:rsidR="002849A4" w:rsidRPr="008D5499" w:rsidRDefault="002849A4" w:rsidP="007E53E1">
      <w:pPr>
        <w:spacing w:line="480" w:lineRule="auto"/>
        <w:rPr>
          <w:b/>
          <w:bCs/>
        </w:rPr>
      </w:pPr>
      <w:r w:rsidRPr="008D5499">
        <w:rPr>
          <w:b/>
          <w:bCs/>
        </w:rPr>
        <w:t xml:space="preserve">Alternative Modes of Access </w:t>
      </w:r>
    </w:p>
    <w:p w14:paraId="204170EA" w14:textId="77777777" w:rsidR="002849A4" w:rsidRDefault="002849A4" w:rsidP="007E53E1">
      <w:pPr>
        <w:spacing w:line="480" w:lineRule="auto"/>
      </w:pPr>
      <w:r>
        <w:t xml:space="preserve">A minority of participants supported self-funding of medicines (18.2%), access to medicines via hospitals (34.4%), and compassionate access schemes (where companies subsidize the medicine’s cost) (35.5%). A considerable proportion were unsure about access to medicines via hospitals (22.0%) or compassionate access schemes (25.9%) (participants answered this question after having been told that access via these two approaches may be inconsistent, unpredictable, or likely to terminate). </w:t>
      </w:r>
      <w:proofErr w:type="gramStart"/>
      <w:r>
        <w:t>The majority of</w:t>
      </w:r>
      <w:proofErr w:type="gramEnd"/>
      <w:r>
        <w:t xml:space="preserve"> participants (60.0%) believed that clinical trials should be designed in a manner that ensures all research participants have access to the medicine being trialed, while a considerable minority was “unsure” (21.5%). </w:t>
      </w:r>
    </w:p>
    <w:p w14:paraId="0995795C" w14:textId="77777777" w:rsidR="002849A4" w:rsidRDefault="002849A4" w:rsidP="007E53E1">
      <w:pPr>
        <w:spacing w:line="480" w:lineRule="auto"/>
      </w:pPr>
    </w:p>
    <w:p w14:paraId="465D6250" w14:textId="77777777" w:rsidR="002849A4" w:rsidRDefault="002849A4" w:rsidP="007E53E1">
      <w:pPr>
        <w:spacing w:line="480" w:lineRule="auto"/>
      </w:pPr>
      <w:proofErr w:type="gramStart"/>
      <w:r>
        <w:t>The majority of</w:t>
      </w:r>
      <w:proofErr w:type="gramEnd"/>
      <w:r>
        <w:t xml:space="preserve"> participants agreed that patients should be able to import medicines from overseas (83.9%), although only a small proportion (12.8%) supported such importation </w:t>
      </w:r>
      <w:r>
        <w:lastRenderedPageBreak/>
        <w:t xml:space="preserve">without restrictions. Personal importation was supported if it was from a reputable supplier (85.6%), or if it had been approved for use in the country from which it was being imported (86.3%). </w:t>
      </w:r>
    </w:p>
    <w:p w14:paraId="07917121" w14:textId="77777777" w:rsidR="002849A4" w:rsidRDefault="002849A4" w:rsidP="007E53E1">
      <w:pPr>
        <w:spacing w:line="480" w:lineRule="auto"/>
        <w:rPr>
          <w:i/>
          <w:iCs/>
        </w:rPr>
      </w:pPr>
    </w:p>
    <w:p w14:paraId="71ADBF33" w14:textId="77777777" w:rsidR="002849A4" w:rsidRPr="008D5499" w:rsidRDefault="002849A4" w:rsidP="007E53E1">
      <w:pPr>
        <w:spacing w:line="480" w:lineRule="auto"/>
        <w:rPr>
          <w:b/>
          <w:bCs/>
        </w:rPr>
      </w:pPr>
      <w:r w:rsidRPr="008D5499">
        <w:rPr>
          <w:b/>
          <w:bCs/>
        </w:rPr>
        <w:t>Stakeholder Involvement in Funding Decisions</w:t>
      </w:r>
    </w:p>
    <w:p w14:paraId="318CFAEB" w14:textId="77777777" w:rsidR="002849A4" w:rsidRDefault="002849A4" w:rsidP="007E53E1">
      <w:pPr>
        <w:spacing w:line="480" w:lineRule="auto"/>
      </w:pPr>
      <w:r>
        <w:t xml:space="preserve">Participants strongly supported the idea of cancer specialists having input into funding decisions (86.1%), with fewer supporting input by cancer patients (55.4%). However, </w:t>
      </w:r>
      <w:proofErr w:type="gramStart"/>
      <w:r>
        <w:t>a majority of</w:t>
      </w:r>
      <w:proofErr w:type="gramEnd"/>
      <w:r>
        <w:t xml:space="preserve"> participants also supported funding decisions being based on scientific data </w:t>
      </w:r>
      <w:r w:rsidRPr="0094070B">
        <w:rPr>
          <w:i/>
          <w:iCs/>
        </w:rPr>
        <w:t>only</w:t>
      </w:r>
      <w:r>
        <w:t xml:space="preserve"> (67.1%). Participants were not clearly in favor of or against the Australian government being influenced by funding decisions made by other comparable countries, with approximately half in support (47.4%) and half against the idea (52.6%). </w:t>
      </w:r>
    </w:p>
    <w:p w14:paraId="0882D8B9" w14:textId="77777777" w:rsidR="002849A4" w:rsidRDefault="002849A4" w:rsidP="007E53E1">
      <w:pPr>
        <w:spacing w:line="480" w:lineRule="auto"/>
      </w:pPr>
    </w:p>
    <w:p w14:paraId="1EC0F266" w14:textId="77777777" w:rsidR="002849A4" w:rsidRPr="008D5499" w:rsidRDefault="002849A4" w:rsidP="007E53E1">
      <w:pPr>
        <w:spacing w:line="480" w:lineRule="auto"/>
        <w:rPr>
          <w:b/>
          <w:bCs/>
        </w:rPr>
      </w:pPr>
      <w:r w:rsidRPr="008D5499">
        <w:rPr>
          <w:b/>
          <w:bCs/>
        </w:rPr>
        <w:t>Advocacy and Media</w:t>
      </w:r>
    </w:p>
    <w:p w14:paraId="6B1FE794" w14:textId="77777777" w:rsidR="002849A4" w:rsidRDefault="002849A4" w:rsidP="007E53E1">
      <w:pPr>
        <w:spacing w:line="480" w:lineRule="auto"/>
      </w:pPr>
      <w:r>
        <w:t xml:space="preserve">Most participants agreed that media reporting of novel cancer medicines should only be permitted if strong evidence existed to support its use (64.9%), while approximately half of participants agreed that </w:t>
      </w:r>
      <w:r w:rsidRPr="0094070B">
        <w:rPr>
          <w:i/>
          <w:iCs/>
        </w:rPr>
        <w:t>potentially</w:t>
      </w:r>
      <w:r>
        <w:t xml:space="preserve"> beneficial cancer medicines should be publicized by the media so that patients know what options are available (53.8%). The overwhelming majority agreed that advocacy groups should be placing pressure on pharmaceutical companies to offer more affordable prices (94.3%), and on governments to fund high cost cancer medicines (87.7%) and medicines in general (88.8%).</w:t>
      </w:r>
    </w:p>
    <w:p w14:paraId="4203FF45" w14:textId="77777777" w:rsidR="002849A4" w:rsidRDefault="002849A4" w:rsidP="007E53E1">
      <w:pPr>
        <w:spacing w:line="480" w:lineRule="auto"/>
      </w:pPr>
    </w:p>
    <w:p w14:paraId="2E64C020" w14:textId="77777777" w:rsidR="002849A4" w:rsidRPr="008D5499" w:rsidRDefault="002849A4" w:rsidP="007E53E1">
      <w:pPr>
        <w:spacing w:line="480" w:lineRule="auto"/>
        <w:rPr>
          <w:b/>
          <w:bCs/>
        </w:rPr>
      </w:pPr>
      <w:r w:rsidRPr="008D5499">
        <w:rPr>
          <w:b/>
          <w:bCs/>
        </w:rPr>
        <w:t>Predictors of responses</w:t>
      </w:r>
    </w:p>
    <w:p w14:paraId="6A2B5F18" w14:textId="77777777" w:rsidR="002849A4" w:rsidRPr="00A930C5" w:rsidRDefault="002849A4" w:rsidP="007E53E1">
      <w:pPr>
        <w:spacing w:line="480" w:lineRule="auto"/>
      </w:pPr>
      <w:r>
        <w:t xml:space="preserve">Political orientation, gender, age, support for a public health care system, tertiary education and high household income predicted some responses [Table 1]. </w:t>
      </w:r>
      <w:r w:rsidRPr="00DE63A1">
        <w:t xml:space="preserve">A few clear patterns emerged. </w:t>
      </w:r>
      <w:r w:rsidRPr="00752E87">
        <w:rPr>
          <w:rFonts w:eastAsia="Calibri" w:cs="Arial"/>
        </w:rPr>
        <w:t xml:space="preserve">Women were more likely than men to believe </w:t>
      </w:r>
      <w:r>
        <w:rPr>
          <w:rFonts w:eastAsia="Calibri" w:cs="Arial"/>
        </w:rPr>
        <w:t xml:space="preserve">that </w:t>
      </w:r>
      <w:r w:rsidRPr="00752E87">
        <w:rPr>
          <w:rFonts w:eastAsia="Calibri" w:cs="Arial"/>
        </w:rPr>
        <w:t xml:space="preserve">equal access, and responding to patients’ </w:t>
      </w:r>
      <w:r w:rsidRPr="00752E87">
        <w:rPr>
          <w:rFonts w:eastAsia="Calibri" w:cs="Arial"/>
        </w:rPr>
        <w:lastRenderedPageBreak/>
        <w:t xml:space="preserve">needs and wants, were valid reasons for government funding of HCCMs. Women were also more likely to believe that advocacy groups should pressure governments for access, </w:t>
      </w:r>
      <w:r w:rsidRPr="00752E87">
        <w:rPr>
          <w:rFonts w:eastAsia="Calibri" w:cs="Arial"/>
          <w:color w:val="000000"/>
        </w:rPr>
        <w:t xml:space="preserve">that </w:t>
      </w:r>
      <w:r w:rsidRPr="00752E87">
        <w:rPr>
          <w:rFonts w:eastAsia="Calibri" w:cs="Arial"/>
        </w:rPr>
        <w:t xml:space="preserve">price negotiations should not delay or threaten access, and that patients should not pay higher co-payments for higher priced medicines. Women were less likely to believe that company profits should be taken into consideration when governments make funding decisions, while men were more likely to believe cancer patients should not be involved in funding decisions. </w:t>
      </w:r>
    </w:p>
    <w:p w14:paraId="1CEC02E6" w14:textId="77777777" w:rsidR="002849A4" w:rsidRPr="00DE63A1" w:rsidRDefault="002849A4" w:rsidP="007E53E1">
      <w:pPr>
        <w:spacing w:line="480" w:lineRule="auto"/>
      </w:pPr>
    </w:p>
    <w:p w14:paraId="2537E99A" w14:textId="77777777" w:rsidR="002849A4" w:rsidRPr="00DE63A1" w:rsidRDefault="002849A4" w:rsidP="007E53E1">
      <w:pPr>
        <w:spacing w:line="480" w:lineRule="auto"/>
        <w:rPr>
          <w:rFonts w:eastAsia="Calibri" w:cs="Arial"/>
        </w:rPr>
      </w:pPr>
      <w:r w:rsidRPr="00752E87">
        <w:t xml:space="preserve">A more right wing political orientation predicted a stronger belief that </w:t>
      </w:r>
      <w:r w:rsidRPr="00752E87">
        <w:rPr>
          <w:rFonts w:eastAsia="Calibri" w:cs="Arial"/>
        </w:rPr>
        <w:t>HCCMs</w:t>
      </w:r>
      <w:r w:rsidRPr="00752E87">
        <w:t xml:space="preserve"> should be funded in order to enable pharmaceutical companies to profit, that </w:t>
      </w:r>
      <w:r w:rsidRPr="00752E87">
        <w:rPr>
          <w:rFonts w:eastAsia="Calibri" w:cs="Arial"/>
        </w:rPr>
        <w:t xml:space="preserve">the price offered by pharmaceutical companies should be accepted without negotiation, and that patients should pay a higher co-payment for higher priced medicines - in part because </w:t>
      </w:r>
      <w:r>
        <w:rPr>
          <w:rFonts w:eastAsia="Calibri" w:cs="Arial"/>
        </w:rPr>
        <w:t>this</w:t>
      </w:r>
      <w:r w:rsidRPr="00752E87">
        <w:rPr>
          <w:rFonts w:eastAsia="Calibri" w:cs="Arial"/>
        </w:rPr>
        <w:t xml:space="preserve"> </w:t>
      </w:r>
      <w:r>
        <w:rPr>
          <w:rFonts w:eastAsia="Calibri" w:cs="Arial"/>
        </w:rPr>
        <w:t xml:space="preserve">increases the likelihood that people will </w:t>
      </w:r>
      <w:r w:rsidRPr="00752E87">
        <w:rPr>
          <w:rFonts w:eastAsia="Calibri" w:cs="Arial"/>
        </w:rPr>
        <w:t xml:space="preserve">adhere to treatment. Those to </w:t>
      </w:r>
      <w:r w:rsidRPr="00752E87">
        <w:t xml:space="preserve">the </w:t>
      </w:r>
      <w:r w:rsidRPr="00752E87">
        <w:rPr>
          <w:rFonts w:eastAsia="Calibri" w:cs="Arial"/>
        </w:rPr>
        <w:t>right</w:t>
      </w:r>
      <w:r w:rsidRPr="00752E87">
        <w:t xml:space="preserve"> of </w:t>
      </w:r>
      <w:r w:rsidRPr="00752E87">
        <w:rPr>
          <w:rFonts w:eastAsia="Calibri" w:cs="Arial"/>
        </w:rPr>
        <w:t>the political spectrum were also more likely to believe that</w:t>
      </w:r>
      <w:r>
        <w:rPr>
          <w:rFonts w:eastAsia="Calibri" w:cs="Arial"/>
        </w:rPr>
        <w:t>,</w:t>
      </w:r>
      <w:r w:rsidRPr="00752E87">
        <w:rPr>
          <w:rFonts w:eastAsia="Calibri" w:cs="Arial"/>
        </w:rPr>
        <w:t xml:space="preserve"> in order to inform patient choices,</w:t>
      </w:r>
      <w:r w:rsidRPr="00752E87">
        <w:t xml:space="preserve"> the media should report on cancer medicines even </w:t>
      </w:r>
      <w:r>
        <w:t xml:space="preserve">where </w:t>
      </w:r>
      <w:r w:rsidRPr="00752E87">
        <w:t>they are not known to be effective</w:t>
      </w:r>
      <w:r>
        <w:rPr>
          <w:rFonts w:eastAsia="Calibri" w:cs="Arial"/>
        </w:rPr>
        <w:t xml:space="preserve">. Somewhat paradoxically, those to the right of the political spectrum were less likely </w:t>
      </w:r>
      <w:r w:rsidRPr="00752E87">
        <w:rPr>
          <w:rFonts w:eastAsia="Calibri" w:cs="Arial"/>
        </w:rPr>
        <w:t xml:space="preserve">to support personal importation of </w:t>
      </w:r>
      <w:r w:rsidRPr="00752E87">
        <w:t>medicines</w:t>
      </w:r>
      <w:r>
        <w:rPr>
          <w:rFonts w:eastAsia="Calibri" w:cs="Arial"/>
        </w:rPr>
        <w:t>, more likely to believe that</w:t>
      </w:r>
      <w:r w:rsidRPr="00752E87">
        <w:rPr>
          <w:rFonts w:eastAsia="Calibri" w:cs="Arial"/>
        </w:rPr>
        <w:t xml:space="preserve"> advocacy groups should pressure governments for access</w:t>
      </w:r>
      <w:r>
        <w:rPr>
          <w:rFonts w:eastAsia="Calibri" w:cs="Arial"/>
        </w:rPr>
        <w:t xml:space="preserve"> and that governments should fund medicines rather than demanding that people should participate in clinical trials. </w:t>
      </w:r>
      <w:r w:rsidRPr="00752E87">
        <w:rPr>
          <w:rFonts w:eastAsia="Calibri" w:cs="Arial"/>
        </w:rPr>
        <w:t xml:space="preserve">However, they were less likely to support government funding of </w:t>
      </w:r>
      <w:r w:rsidRPr="00752E87">
        <w:t xml:space="preserve">medicines </w:t>
      </w:r>
      <w:r w:rsidRPr="00752E87">
        <w:rPr>
          <w:rFonts w:eastAsia="Calibri" w:cs="Arial"/>
        </w:rPr>
        <w:t>not known to be safe</w:t>
      </w:r>
      <w:r>
        <w:rPr>
          <w:rFonts w:eastAsia="Calibri" w:cs="Arial"/>
        </w:rPr>
        <w:t xml:space="preserve">. </w:t>
      </w:r>
      <w:r w:rsidRPr="00752E87">
        <w:rPr>
          <w:rFonts w:eastAsia="Calibri" w:cs="Arial"/>
        </w:rPr>
        <w:t>A more right-wing political orientation was also aligned with greater support for patient input, and less support for specialist input, in funding decisions</w:t>
      </w:r>
      <w:r w:rsidRPr="00752E87">
        <w:t>.</w:t>
      </w:r>
    </w:p>
    <w:p w14:paraId="6D098DB0" w14:textId="77777777" w:rsidR="002849A4" w:rsidRPr="00752E87" w:rsidRDefault="002849A4" w:rsidP="007E53E1">
      <w:pPr>
        <w:spacing w:line="480" w:lineRule="auto"/>
      </w:pPr>
    </w:p>
    <w:p w14:paraId="228D837D" w14:textId="77777777" w:rsidR="002849A4" w:rsidRPr="00DE63A1" w:rsidRDefault="002849A4" w:rsidP="007E53E1">
      <w:pPr>
        <w:spacing w:line="480" w:lineRule="auto"/>
        <w:rPr>
          <w:rFonts w:eastAsia="Calibri" w:cs="Arial"/>
        </w:rPr>
      </w:pPr>
      <w:r w:rsidRPr="00DE63A1">
        <w:rPr>
          <w:rFonts w:eastAsia="Calibri" w:cs="Arial"/>
        </w:rPr>
        <w:t xml:space="preserve">Older </w:t>
      </w:r>
      <w:r>
        <w:rPr>
          <w:rFonts w:eastAsia="Calibri" w:cs="Arial"/>
        </w:rPr>
        <w:t>adults</w:t>
      </w:r>
      <w:r w:rsidRPr="00DE63A1">
        <w:rPr>
          <w:rFonts w:eastAsia="Calibri" w:cs="Arial"/>
        </w:rPr>
        <w:t xml:space="preserve"> were less likely to accept access delays in order to negotiate better prices, </w:t>
      </w:r>
      <w:r>
        <w:rPr>
          <w:rFonts w:eastAsia="Calibri" w:cs="Arial"/>
        </w:rPr>
        <w:t>and less likely</w:t>
      </w:r>
      <w:r w:rsidRPr="00DE63A1">
        <w:rPr>
          <w:rFonts w:eastAsia="Calibri" w:cs="Arial"/>
        </w:rPr>
        <w:t xml:space="preserve"> to accept higher co-payments for higher priced drugs. They were more likely to believe that governments should treat cancer differently to other diseases, and more likely to support advocacy groups pressuring industry to offer more affordable prices. </w:t>
      </w:r>
      <w:r w:rsidRPr="00FE19D8">
        <w:rPr>
          <w:rFonts w:eastAsia="Calibri" w:cs="Arial"/>
        </w:rPr>
        <w:t xml:space="preserve">On the other hand, </w:t>
      </w:r>
      <w:r w:rsidRPr="00FE19D8">
        <w:rPr>
          <w:rFonts w:eastAsia="Calibri" w:cs="Arial"/>
        </w:rPr>
        <w:lastRenderedPageBreak/>
        <w:t xml:space="preserve">younger adults were supportive of co-payments, even if they were beyond the means of some patients, </w:t>
      </w:r>
      <w:proofErr w:type="gramStart"/>
      <w:r w:rsidRPr="00FE19D8">
        <w:rPr>
          <w:rFonts w:eastAsia="Calibri" w:cs="Arial"/>
        </w:rPr>
        <w:t>and also</w:t>
      </w:r>
      <w:proofErr w:type="gramEnd"/>
      <w:r w:rsidRPr="00FE19D8">
        <w:rPr>
          <w:rFonts w:eastAsia="Calibri" w:cs="Arial"/>
        </w:rPr>
        <w:t xml:space="preserve"> appeared to prioritize access over equity as evident in their greater support of potentially unequal access to hospital funded medicines. Younger adults were less supportive of specialist input in decisions about medicines funding.</w:t>
      </w:r>
      <w:r>
        <w:rPr>
          <w:rFonts w:eastAsia="Calibri" w:cs="Arial"/>
        </w:rPr>
        <w:t xml:space="preserve"> </w:t>
      </w:r>
      <w:r w:rsidRPr="00286985">
        <w:rPr>
          <w:rFonts w:eastAsia="Calibri" w:cs="Arial"/>
        </w:rPr>
        <w:t xml:space="preserve"> </w:t>
      </w:r>
    </w:p>
    <w:p w14:paraId="29FA1147" w14:textId="77777777" w:rsidR="002849A4" w:rsidRPr="00DE63A1" w:rsidRDefault="002849A4" w:rsidP="007E53E1">
      <w:pPr>
        <w:spacing w:line="480" w:lineRule="auto"/>
        <w:rPr>
          <w:rFonts w:eastAsia="Calibri" w:cs="Arial"/>
        </w:rPr>
      </w:pPr>
    </w:p>
    <w:p w14:paraId="7975937A" w14:textId="77777777" w:rsidR="002849A4" w:rsidRPr="00752E87" w:rsidRDefault="002849A4" w:rsidP="007E53E1">
      <w:pPr>
        <w:spacing w:line="480" w:lineRule="auto"/>
      </w:pPr>
      <w:r w:rsidRPr="00752E87">
        <w:t xml:space="preserve">Participants supportive of a public healthcare system </w:t>
      </w:r>
      <w:r>
        <w:t xml:space="preserve">were </w:t>
      </w:r>
      <w:r w:rsidRPr="00DB1721">
        <w:rPr>
          <w:rFonts w:eastAsia="Calibri" w:cs="Arial"/>
        </w:rPr>
        <w:t>also</w:t>
      </w:r>
      <w:r w:rsidRPr="00752E87">
        <w:t xml:space="preserve"> more supportive of advocacy </w:t>
      </w:r>
      <w:r w:rsidRPr="00DB1721">
        <w:rPr>
          <w:rFonts w:eastAsia="Calibri" w:cs="Arial"/>
        </w:rPr>
        <w:t>groups pressuring government to fund medicines, as well as pressuring pharmaceutical</w:t>
      </w:r>
      <w:r w:rsidRPr="00752E87">
        <w:t xml:space="preserve"> companies to </w:t>
      </w:r>
      <w:r w:rsidRPr="00DB1721">
        <w:rPr>
          <w:rFonts w:eastAsia="Calibri" w:cs="Arial"/>
        </w:rPr>
        <w:t>charge</w:t>
      </w:r>
      <w:r w:rsidRPr="00752E87">
        <w:t xml:space="preserve"> more affordable </w:t>
      </w:r>
      <w:r w:rsidRPr="00DB1721">
        <w:rPr>
          <w:rFonts w:eastAsia="Calibri" w:cs="Arial"/>
        </w:rPr>
        <w:t>prices. They were also more likely to believe</w:t>
      </w:r>
      <w:r w:rsidRPr="00752E87">
        <w:t xml:space="preserve"> that the media should only </w:t>
      </w:r>
      <w:r w:rsidRPr="00DB1721">
        <w:rPr>
          <w:rFonts w:eastAsia="Calibri" w:cs="Arial"/>
        </w:rPr>
        <w:t>publicize</w:t>
      </w:r>
      <w:r w:rsidRPr="00752E87">
        <w:t xml:space="preserve"> cancer medicines </w:t>
      </w:r>
      <w:r w:rsidRPr="00DB1721">
        <w:rPr>
          <w:rFonts w:eastAsia="Calibri" w:cs="Arial"/>
        </w:rPr>
        <w:t>backed up by strong</w:t>
      </w:r>
      <w:r w:rsidRPr="00752E87">
        <w:t xml:space="preserve"> evidence. </w:t>
      </w:r>
    </w:p>
    <w:p w14:paraId="2EA7A27D" w14:textId="77777777" w:rsidR="002849A4" w:rsidRPr="00752E87" w:rsidRDefault="002849A4" w:rsidP="007E53E1">
      <w:pPr>
        <w:spacing w:line="480" w:lineRule="auto"/>
      </w:pPr>
    </w:p>
    <w:p w14:paraId="70114FED" w14:textId="77777777" w:rsidR="002849A4" w:rsidRPr="00752E87" w:rsidRDefault="002849A4" w:rsidP="007E53E1">
      <w:pPr>
        <w:spacing w:line="480" w:lineRule="auto"/>
      </w:pPr>
      <w:r w:rsidRPr="00752E87">
        <w:t xml:space="preserve">Respondents with a university education were more likely to </w:t>
      </w:r>
      <w:r w:rsidRPr="00DB1721">
        <w:rPr>
          <w:rFonts w:eastAsia="Calibri" w:cs="Arial"/>
        </w:rPr>
        <w:t xml:space="preserve">accept </w:t>
      </w:r>
      <w:r w:rsidRPr="00752E87">
        <w:t xml:space="preserve">delays </w:t>
      </w:r>
      <w:r w:rsidRPr="00DB1721">
        <w:rPr>
          <w:rFonts w:eastAsia="Calibri" w:cs="Arial"/>
        </w:rPr>
        <w:t xml:space="preserve">in </w:t>
      </w:r>
      <w:r w:rsidRPr="00752E87">
        <w:t xml:space="preserve">access </w:t>
      </w:r>
      <w:r w:rsidRPr="00DB1721">
        <w:rPr>
          <w:rFonts w:eastAsia="Calibri" w:cs="Arial"/>
        </w:rPr>
        <w:t xml:space="preserve">if this would lead to better prices, </w:t>
      </w:r>
      <w:r w:rsidRPr="00752E87">
        <w:t xml:space="preserve">and </w:t>
      </w:r>
      <w:r w:rsidRPr="00DB1721">
        <w:rPr>
          <w:rFonts w:eastAsia="Calibri" w:cs="Arial"/>
        </w:rPr>
        <w:t xml:space="preserve">to believe </w:t>
      </w:r>
      <w:r w:rsidRPr="00752E87">
        <w:t xml:space="preserve">that cancer is </w:t>
      </w:r>
      <w:r w:rsidRPr="00DB1721">
        <w:rPr>
          <w:rFonts w:eastAsia="Calibri" w:cs="Arial"/>
        </w:rPr>
        <w:t>unique</w:t>
      </w:r>
      <w:r w:rsidRPr="00752E87">
        <w:t xml:space="preserve"> and should be treated differently</w:t>
      </w:r>
      <w:r w:rsidRPr="00DB1721">
        <w:rPr>
          <w:rFonts w:eastAsia="Calibri" w:cs="Arial"/>
        </w:rPr>
        <w:t xml:space="preserve"> to other diseases. University educated respondents</w:t>
      </w:r>
      <w:r w:rsidRPr="00752E87">
        <w:t xml:space="preserve"> were </w:t>
      </w:r>
      <w:r w:rsidRPr="00DB1721">
        <w:rPr>
          <w:rFonts w:eastAsia="Calibri" w:cs="Arial"/>
        </w:rPr>
        <w:t xml:space="preserve">also </w:t>
      </w:r>
      <w:r w:rsidRPr="00752E87">
        <w:t xml:space="preserve">less </w:t>
      </w:r>
      <w:r w:rsidRPr="00DB1721">
        <w:rPr>
          <w:rFonts w:eastAsia="Calibri" w:cs="Arial"/>
        </w:rPr>
        <w:t>supportive of</w:t>
      </w:r>
      <w:r w:rsidRPr="00752E87">
        <w:t xml:space="preserve"> cancer patients </w:t>
      </w:r>
      <w:r w:rsidRPr="00DB1721">
        <w:rPr>
          <w:rFonts w:eastAsia="Calibri" w:cs="Arial"/>
        </w:rPr>
        <w:t xml:space="preserve">having a say in funding decisions. </w:t>
      </w:r>
    </w:p>
    <w:p w14:paraId="633431FA" w14:textId="77777777" w:rsidR="002849A4" w:rsidRPr="00DB1721" w:rsidRDefault="002849A4" w:rsidP="007E53E1">
      <w:pPr>
        <w:spacing w:line="480" w:lineRule="auto"/>
        <w:rPr>
          <w:highlight w:val="yellow"/>
        </w:rPr>
      </w:pPr>
    </w:p>
    <w:p w14:paraId="646E3FD3" w14:textId="77777777" w:rsidR="002849A4" w:rsidRPr="00944BD8" w:rsidRDefault="002849A4" w:rsidP="007E53E1">
      <w:pPr>
        <w:spacing w:line="480" w:lineRule="auto"/>
        <w:rPr>
          <w:rFonts w:eastAsia="Calibri" w:cs="Arial"/>
        </w:rPr>
      </w:pPr>
      <w:r w:rsidRPr="00DE63A1">
        <w:t>Importantly, personal history of cancer was only statistical</w:t>
      </w:r>
      <w:r>
        <w:t xml:space="preserve">ly significant for one question—with these respondents being </w:t>
      </w:r>
      <w:r w:rsidRPr="00DE63A1">
        <w:t xml:space="preserve">more likely to believe that patients should not be allowed to </w:t>
      </w:r>
      <w:r w:rsidRPr="00DE63A1">
        <w:rPr>
          <w:rFonts w:eastAsia="Calibri" w:cs="Arial"/>
        </w:rPr>
        <w:t>import</w:t>
      </w:r>
      <w:r w:rsidRPr="00DE63A1">
        <w:t xml:space="preserve"> medicines under any circumstances. Family history of cancer </w:t>
      </w:r>
      <w:r>
        <w:t>and health status were</w:t>
      </w:r>
      <w:r w:rsidRPr="00DE63A1">
        <w:t xml:space="preserve"> not significant for any question. </w:t>
      </w:r>
    </w:p>
    <w:p w14:paraId="74937317" w14:textId="77777777" w:rsidR="002849A4" w:rsidRDefault="002849A4" w:rsidP="007E53E1">
      <w:pPr>
        <w:pStyle w:val="Heading3"/>
        <w:spacing w:line="480" w:lineRule="auto"/>
      </w:pPr>
      <w:r w:rsidRPr="00F16148">
        <w:t>Discussion</w:t>
      </w:r>
    </w:p>
    <w:p w14:paraId="57B339B5" w14:textId="67986845" w:rsidR="002849A4" w:rsidRDefault="002849A4" w:rsidP="007E53E1">
      <w:pPr>
        <w:spacing w:line="480" w:lineRule="auto"/>
      </w:pPr>
      <w:r>
        <w:t xml:space="preserve">The results of this survey reveal strong support (&gt;80% agreement) for government funding of </w:t>
      </w:r>
      <w:r w:rsidR="008576B1">
        <w:t>HCCM</w:t>
      </w:r>
      <w:r w:rsidR="001C4F9B">
        <w:t>s</w:t>
      </w:r>
      <w:r>
        <w:t xml:space="preserve">, for not delaying access to cancer medicines in order to negotiate prices, for allowing patients to import their own medicines from overseas (if self-funded, or from a reliable supplier, or from a country where it is approved), for cancer specialists  providing input into funding decisions, and for advocacy groups encouraging pharmaceutical companies to charge </w:t>
      </w:r>
      <w:r>
        <w:lastRenderedPageBreak/>
        <w:t xml:space="preserve">more affordable prices while also encouraging government to fund high cost cancer medicines. The results also indicate that while both access to medicines for specific patient groups in need and equity of access were both important principles, </w:t>
      </w:r>
      <w:r w:rsidR="00B50C96">
        <w:t xml:space="preserve">uncertainty </w:t>
      </w:r>
      <w:r>
        <w:t xml:space="preserve">exists about how to balance these two principles. </w:t>
      </w:r>
    </w:p>
    <w:p w14:paraId="01F9C6F5" w14:textId="77777777" w:rsidR="00954FFB" w:rsidRPr="009C0020" w:rsidRDefault="00954FFB" w:rsidP="007E53E1">
      <w:pPr>
        <w:spacing w:line="480" w:lineRule="auto"/>
      </w:pPr>
    </w:p>
    <w:p w14:paraId="7D7B767D" w14:textId="6C198B42" w:rsidR="00954FFB" w:rsidRDefault="00420C89" w:rsidP="007E53E1">
      <w:pPr>
        <w:spacing w:line="480" w:lineRule="auto"/>
      </w:pPr>
      <w:r>
        <w:t>These findings are broadly consistent with other studies of public preferences in the con</w:t>
      </w:r>
      <w:r w:rsidR="005C663E">
        <w:t>t</w:t>
      </w:r>
      <w:r>
        <w:t xml:space="preserve">ext of HCCMs. </w:t>
      </w:r>
      <w:r w:rsidRPr="00420C89">
        <w:t>In 2016</w:t>
      </w:r>
      <w:r w:rsidR="00282FE0">
        <w:t>,</w:t>
      </w:r>
      <w:r w:rsidRPr="00420C89">
        <w:t xml:space="preserve"> Macleod and colleagues </w:t>
      </w:r>
      <w:r w:rsidR="005C663E">
        <w:t>published</w:t>
      </w:r>
      <w:r w:rsidRPr="00420C89">
        <w:t xml:space="preserve"> a review</w:t>
      </w:r>
      <w:r w:rsidR="00282FE0">
        <w:t xml:space="preserve"> of 16 studies</w:t>
      </w:r>
      <w:r w:rsidRPr="00420C89">
        <w:t xml:space="preserve"> investigating </w:t>
      </w:r>
      <w:r w:rsidR="00282FE0">
        <w:t xml:space="preserve">patient and general public </w:t>
      </w:r>
      <w:r w:rsidRPr="00420C89">
        <w:t>preferences for funding HCCMs</w:t>
      </w:r>
      <w:r w:rsidR="000E3940">
        <w:t xml:space="preserve"> </w:t>
      </w:r>
      <w:r w:rsidR="00A40E75">
        <w:t>(24</w:t>
      </w:r>
      <w:r w:rsidR="000E3940">
        <w:t>)</w:t>
      </w:r>
      <w:r w:rsidR="00282FE0">
        <w:t xml:space="preserve">. </w:t>
      </w:r>
      <w:r w:rsidR="008576B1">
        <w:t>Like us, t</w:t>
      </w:r>
      <w:r>
        <w:t xml:space="preserve">hey </w:t>
      </w:r>
      <w:r w:rsidR="008576B1">
        <w:t xml:space="preserve">found that </w:t>
      </w:r>
      <w:r w:rsidRPr="00420C89">
        <w:t>equity</w:t>
      </w:r>
      <w:r w:rsidR="008576B1">
        <w:t xml:space="preserve"> was a priority for patients and the public</w:t>
      </w:r>
      <w:r w:rsidR="002B7DCA">
        <w:t>, and that the</w:t>
      </w:r>
      <w:r w:rsidR="00855522">
        <w:t xml:space="preserve"> </w:t>
      </w:r>
      <w:r w:rsidR="008576B1">
        <w:t xml:space="preserve">Irish, British and Australian public </w:t>
      </w:r>
      <w:r w:rsidR="00855522">
        <w:t>also valued efficiency when it came to</w:t>
      </w:r>
      <w:r w:rsidR="008576B1">
        <w:t xml:space="preserve"> allocat</w:t>
      </w:r>
      <w:r w:rsidR="00855522">
        <w:t>ing</w:t>
      </w:r>
      <w:r w:rsidR="008576B1">
        <w:t xml:space="preserve"> resources, while Germans did not </w:t>
      </w:r>
      <w:r w:rsidR="00855522">
        <w:t xml:space="preserve">believe </w:t>
      </w:r>
      <w:r w:rsidR="00282FE0">
        <w:t xml:space="preserve">that </w:t>
      </w:r>
      <w:r w:rsidR="00855522">
        <w:t>efficiency</w:t>
      </w:r>
      <w:r w:rsidR="008576B1">
        <w:t xml:space="preserve"> should be a </w:t>
      </w:r>
      <w:r w:rsidR="00855522">
        <w:t>dominant criterion</w:t>
      </w:r>
      <w:r w:rsidR="008576B1">
        <w:t xml:space="preserve">. </w:t>
      </w:r>
      <w:r w:rsidR="00855522">
        <w:t xml:space="preserve">“Need” was also identified as an important priority for the public, which reflects our own finding that responding to patient needs is, along with equity, the major reason for supporting of public funding of HCCMs.  </w:t>
      </w:r>
    </w:p>
    <w:p w14:paraId="34795925" w14:textId="77777777" w:rsidR="00727A73" w:rsidRDefault="00727A73" w:rsidP="007E53E1">
      <w:pPr>
        <w:spacing w:line="480" w:lineRule="auto"/>
      </w:pPr>
    </w:p>
    <w:p w14:paraId="1BFBC0D0" w14:textId="5047B924" w:rsidR="00855522" w:rsidRDefault="00282FE0" w:rsidP="007E53E1">
      <w:pPr>
        <w:spacing w:line="480" w:lineRule="auto"/>
      </w:pPr>
      <w:r>
        <w:t>Our study extends this work by</w:t>
      </w:r>
      <w:r w:rsidR="00855522">
        <w:t xml:space="preserve"> not only investigat</w:t>
      </w:r>
      <w:r>
        <w:t>ing</w:t>
      </w:r>
      <w:r w:rsidR="00855522">
        <w:t xml:space="preserve"> the broad preferences of the public when it comes to the funding of HCCMs</w:t>
      </w:r>
      <w:r w:rsidR="00954FFB">
        <w:t xml:space="preserve"> </w:t>
      </w:r>
      <w:r>
        <w:t xml:space="preserve">but also systematically </w:t>
      </w:r>
      <w:r w:rsidR="00855522">
        <w:t>explor</w:t>
      </w:r>
      <w:r>
        <w:t>ing</w:t>
      </w:r>
      <w:r w:rsidR="00855522">
        <w:t xml:space="preserve"> public views </w:t>
      </w:r>
      <w:r>
        <w:t>regarding</w:t>
      </w:r>
      <w:r w:rsidR="00855522">
        <w:t xml:space="preserve"> specific mechanism for accessing </w:t>
      </w:r>
      <w:r w:rsidR="00E05607">
        <w:t xml:space="preserve">HCCMs. </w:t>
      </w:r>
      <w:r w:rsidR="00954FFB">
        <w:t>Our findings</w:t>
      </w:r>
      <w:r>
        <w:t xml:space="preserve"> </w:t>
      </w:r>
      <w:r w:rsidR="00954FFB">
        <w:t xml:space="preserve">provide </w:t>
      </w:r>
      <w:r>
        <w:t xml:space="preserve">important insights for </w:t>
      </w:r>
      <w:r w:rsidR="00954FFB">
        <w:t xml:space="preserve">Australian policymakers </w:t>
      </w:r>
      <w:r>
        <w:t>in developing</w:t>
      </w:r>
      <w:r w:rsidR="00954FFB">
        <w:t xml:space="preserve"> different strategies for accessing medicines. In addition, </w:t>
      </w:r>
      <w:r>
        <w:t xml:space="preserve">as evidence suggests that </w:t>
      </w:r>
      <w:r w:rsidR="00200F8A">
        <w:t>publics in different high-income countries appear to share the same broad values when it comes to funding HCCMs, these findings could</w:t>
      </w:r>
      <w:r>
        <w:t xml:space="preserve"> be a useful starting point for</w:t>
      </w:r>
      <w:r w:rsidR="00200F8A">
        <w:t xml:space="preserve"> inform</w:t>
      </w:r>
      <w:r>
        <w:t>ing</w:t>
      </w:r>
      <w:r w:rsidR="00200F8A">
        <w:t xml:space="preserve"> medicines policy in other countries. </w:t>
      </w:r>
    </w:p>
    <w:p w14:paraId="11B9B471" w14:textId="57F4190F" w:rsidR="002849A4" w:rsidRDefault="002849A4" w:rsidP="007E53E1">
      <w:pPr>
        <w:spacing w:line="480" w:lineRule="auto"/>
        <w:rPr>
          <w:b/>
          <w:bCs/>
        </w:rPr>
      </w:pPr>
    </w:p>
    <w:p w14:paraId="1C4C04CE" w14:textId="77777777" w:rsidR="002849A4" w:rsidRPr="00811414" w:rsidRDefault="002849A4" w:rsidP="007E53E1">
      <w:pPr>
        <w:spacing w:line="480" w:lineRule="auto"/>
        <w:rPr>
          <w:b/>
          <w:bCs/>
        </w:rPr>
      </w:pPr>
      <w:r w:rsidRPr="00811414">
        <w:rPr>
          <w:b/>
          <w:bCs/>
        </w:rPr>
        <w:t>Strengths and Limitations</w:t>
      </w:r>
    </w:p>
    <w:p w14:paraId="0F596511" w14:textId="5E85EBA2" w:rsidR="00645FCC" w:rsidRDefault="002849A4" w:rsidP="007E53E1">
      <w:pPr>
        <w:spacing w:line="480" w:lineRule="auto"/>
      </w:pPr>
      <w:r w:rsidRPr="00C315A2">
        <w:t xml:space="preserve">This study is the largest and most comprehensive study to investigate public preferences and values relating to funding of, and access to, HCCMs in Australia. The sample used in this study </w:t>
      </w:r>
      <w:r w:rsidRPr="00C315A2">
        <w:lastRenderedPageBreak/>
        <w:t>is representative in most respects of the Australia</w:t>
      </w:r>
      <w:r w:rsidR="00D0247A">
        <w:t>n adult</w:t>
      </w:r>
      <w:r w:rsidRPr="00C315A2">
        <w:t xml:space="preserve"> population and therefore these results can help to inform public debate relating to the funding of cancer medicines.  A highly conservative measure of statistical significance was used (p&lt;0.001), increasing confidence in the relationship between the predictors and response, but also potentially overlooking factors that would be counted as significant using a less conservative p value. The fact that some responses were contradictory may suggest that some questions were not understood accurately by lay participants</w:t>
      </w:r>
      <w:r w:rsidR="003C709E">
        <w:t xml:space="preserve"> (e.g. due to low health literacy</w:t>
      </w:r>
      <w:proofErr w:type="gramStart"/>
      <w:r w:rsidR="003C709E">
        <w:t>)</w:t>
      </w:r>
      <w:r w:rsidRPr="00C315A2">
        <w:t>, but</w:t>
      </w:r>
      <w:proofErr w:type="gramEnd"/>
      <w:r w:rsidRPr="00C315A2">
        <w:t xml:space="preserve"> could</w:t>
      </w:r>
      <w:r>
        <w:t xml:space="preserve"> also be because of competing values</w:t>
      </w:r>
      <w:r w:rsidR="00727A73">
        <w:t xml:space="preserve"> - </w:t>
      </w:r>
      <w:r w:rsidR="00282FE0">
        <w:t xml:space="preserve">which is common when issues are morally complex. </w:t>
      </w:r>
      <w:r w:rsidR="00687F49" w:rsidRPr="00C215A6">
        <w:t>Furthermore, s</w:t>
      </w:r>
      <w:r w:rsidR="00C676FC" w:rsidRPr="00C215A6">
        <w:t>ince the survey was directed at</w:t>
      </w:r>
      <w:r w:rsidR="00687F49" w:rsidRPr="00C215A6">
        <w:t xml:space="preserve"> adults</w:t>
      </w:r>
      <w:r w:rsidR="00C676FC" w:rsidRPr="00C215A6">
        <w:t xml:space="preserve"> </w:t>
      </w:r>
      <w:r w:rsidR="00687F49" w:rsidRPr="00C215A6">
        <w:t xml:space="preserve">(i.e. people </w:t>
      </w:r>
      <w:r w:rsidR="00C676FC" w:rsidRPr="00C215A6">
        <w:t>18 year</w:t>
      </w:r>
      <w:r w:rsidR="00687F49" w:rsidRPr="00C215A6">
        <w:t>s and older)</w:t>
      </w:r>
      <w:r w:rsidR="00C676FC" w:rsidRPr="00C215A6">
        <w:t xml:space="preserve"> </w:t>
      </w:r>
      <w:r w:rsidR="004B597D" w:rsidRPr="00C215A6">
        <w:t xml:space="preserve">and did not specifically address medicines use in </w:t>
      </w:r>
      <w:r w:rsidR="00D0247A" w:rsidRPr="00C215A6">
        <w:t xml:space="preserve">the </w:t>
      </w:r>
      <w:r w:rsidR="004B597D" w:rsidRPr="00C215A6">
        <w:t>pediatric</w:t>
      </w:r>
      <w:r w:rsidR="00D0247A" w:rsidRPr="00C215A6">
        <w:t xml:space="preserve"> population</w:t>
      </w:r>
      <w:r w:rsidR="004B597D" w:rsidRPr="00C215A6">
        <w:t xml:space="preserve">, </w:t>
      </w:r>
      <w:r w:rsidR="00C676FC" w:rsidRPr="00C215A6">
        <w:t xml:space="preserve">it is unclear to what </w:t>
      </w:r>
      <w:r w:rsidR="00687F49" w:rsidRPr="00C215A6">
        <w:t xml:space="preserve">extent </w:t>
      </w:r>
      <w:r w:rsidR="004B597D" w:rsidRPr="00C215A6">
        <w:t>the</w:t>
      </w:r>
      <w:r w:rsidR="00D0247A" w:rsidRPr="00C215A6">
        <w:t>se</w:t>
      </w:r>
      <w:r w:rsidR="004B597D" w:rsidRPr="00C215A6">
        <w:t xml:space="preserve"> results </w:t>
      </w:r>
      <w:r w:rsidR="00D0247A" w:rsidRPr="00C215A6">
        <w:t>might apply</w:t>
      </w:r>
      <w:r w:rsidR="004B597D" w:rsidRPr="00C215A6">
        <w:t xml:space="preserve"> to the </w:t>
      </w:r>
      <w:proofErr w:type="spellStart"/>
      <w:r w:rsidR="004B597D" w:rsidRPr="00C215A6">
        <w:t>p</w:t>
      </w:r>
      <w:r w:rsidR="00D0247A" w:rsidRPr="00C215A6">
        <w:t>a</w:t>
      </w:r>
      <w:r w:rsidR="004B597D" w:rsidRPr="00C215A6">
        <w:t>ediatric</w:t>
      </w:r>
      <w:proofErr w:type="spellEnd"/>
      <w:r w:rsidR="004B597D" w:rsidRPr="00C215A6">
        <w:t xml:space="preserve"> oncology context</w:t>
      </w:r>
      <w:r w:rsidR="00687F49" w:rsidRPr="00C215A6">
        <w:t xml:space="preserve">. </w:t>
      </w:r>
      <w:r w:rsidR="004B597D" w:rsidRPr="00C215A6">
        <w:t>For example, i</w:t>
      </w:r>
      <w:r w:rsidR="00687F49" w:rsidRPr="00C215A6">
        <w:t xml:space="preserve">n the </w:t>
      </w:r>
      <w:proofErr w:type="spellStart"/>
      <w:r w:rsidR="00687F49" w:rsidRPr="00C215A6">
        <w:t>paediatric</w:t>
      </w:r>
      <w:proofErr w:type="spellEnd"/>
      <w:r w:rsidR="00687F49" w:rsidRPr="00C215A6">
        <w:t xml:space="preserve"> context off-label prescribing is especially common as most medicines are licensed for use</w:t>
      </w:r>
      <w:r w:rsidR="004B597D" w:rsidRPr="00C215A6">
        <w:t xml:space="preserve"> only </w:t>
      </w:r>
      <w:r w:rsidR="00687F49" w:rsidRPr="00C215A6">
        <w:t>in adults</w:t>
      </w:r>
      <w:r w:rsidR="00F172DE" w:rsidRPr="00C215A6">
        <w:t>.</w:t>
      </w:r>
      <w:r w:rsidR="00244BFD" w:rsidRPr="00C215A6">
        <w:t xml:space="preserve"> This presents unique funding challenges not explored here.</w:t>
      </w:r>
      <w:r w:rsidR="00FF25CF">
        <w:t xml:space="preserve"> </w:t>
      </w:r>
      <w:r w:rsidR="00645FCC" w:rsidRPr="00645FCC">
        <w:rPr>
          <w:rFonts w:eastAsia="Calibri" w:cs="Arial"/>
        </w:rPr>
        <w:t>A final important limitation is that the order in which survey questions are presented to participants is known to influence their responses, as the preceding questions provide the context for those that follow</w:t>
      </w:r>
      <w:r w:rsidR="00131AA5">
        <w:rPr>
          <w:rFonts w:eastAsia="Calibri" w:cs="Arial"/>
        </w:rPr>
        <w:t xml:space="preserve"> (25)</w:t>
      </w:r>
      <w:r w:rsidR="00645FCC" w:rsidRPr="00645FCC">
        <w:rPr>
          <w:rFonts w:eastAsia="Calibri" w:cs="Arial"/>
        </w:rPr>
        <w:t xml:space="preserve">. </w:t>
      </w:r>
    </w:p>
    <w:p w14:paraId="47BCD462" w14:textId="77777777" w:rsidR="002849A4" w:rsidRDefault="002849A4" w:rsidP="007E53E1">
      <w:pPr>
        <w:spacing w:line="480" w:lineRule="auto"/>
      </w:pPr>
    </w:p>
    <w:p w14:paraId="322C9F93" w14:textId="77777777" w:rsidR="002849A4" w:rsidRPr="00811414" w:rsidRDefault="002849A4" w:rsidP="007E53E1">
      <w:pPr>
        <w:spacing w:line="480" w:lineRule="auto"/>
        <w:rPr>
          <w:b/>
          <w:bCs/>
        </w:rPr>
      </w:pPr>
      <w:r w:rsidRPr="00811414">
        <w:rPr>
          <w:b/>
          <w:bCs/>
        </w:rPr>
        <w:t>Policy implications</w:t>
      </w:r>
    </w:p>
    <w:p w14:paraId="74F29A6C" w14:textId="46408585" w:rsidR="002849A4" w:rsidRDefault="002849A4" w:rsidP="007E53E1">
      <w:pPr>
        <w:spacing w:line="480" w:lineRule="auto"/>
      </w:pPr>
      <w:r>
        <w:t xml:space="preserve">The results of this study have important implications for policy debates regarding access to cancer medicines. First, while  consumer involvement in HTA processes is no doubt important, these results suggest that the Australian public values the input of specialist </w:t>
      </w:r>
      <w:r w:rsidR="00873E4A">
        <w:t xml:space="preserve">(86.1%), and scientific data (67.1%) </w:t>
      </w:r>
      <w:r>
        <w:t xml:space="preserve">in these processes more than they do </w:t>
      </w:r>
      <w:r w:rsidR="006B17FD">
        <w:t>patient</w:t>
      </w:r>
      <w:r>
        <w:t xml:space="preserve"> input</w:t>
      </w:r>
      <w:r w:rsidR="00873E4A">
        <w:t xml:space="preserve"> </w:t>
      </w:r>
      <w:r w:rsidR="00873E4A" w:rsidRPr="00873E4A">
        <w:t>(55.4%)</w:t>
      </w:r>
      <w:r>
        <w:t xml:space="preserve">. Given the push towards greater consumer engagement and participation in HTA, </w:t>
      </w:r>
      <w:r w:rsidR="00873E4A">
        <w:t xml:space="preserve">and criticisms </w:t>
      </w:r>
      <w:r w:rsidR="002A2D72">
        <w:t>of it</w:t>
      </w:r>
      <w:r w:rsidR="00A40E75">
        <w:t xml:space="preserve"> (2</w:t>
      </w:r>
      <w:r w:rsidR="00131AA5">
        <w:t>6</w:t>
      </w:r>
      <w:r w:rsidR="00A40E75">
        <w:t>)</w:t>
      </w:r>
      <w:r w:rsidR="00873E4A">
        <w:t xml:space="preserve">, </w:t>
      </w:r>
      <w:r>
        <w:t xml:space="preserve">this finding has important implications for the relative value given to different types of input. </w:t>
      </w:r>
    </w:p>
    <w:p w14:paraId="1A1B2124" w14:textId="77777777" w:rsidR="002849A4" w:rsidRDefault="002849A4" w:rsidP="007E53E1">
      <w:pPr>
        <w:spacing w:line="480" w:lineRule="auto"/>
      </w:pPr>
    </w:p>
    <w:p w14:paraId="1DD317F4" w14:textId="344F1855" w:rsidR="002849A4" w:rsidRDefault="002849A4" w:rsidP="007E53E1">
      <w:pPr>
        <w:spacing w:line="480" w:lineRule="auto"/>
      </w:pPr>
      <w:r>
        <w:lastRenderedPageBreak/>
        <w:t xml:space="preserve">Second, despite the rapid move (both in Australia and internationally) towards accelerated access to medicines, the results suggest the Australian public may have reservations about such processes if they result in lower evidence standards. This was evident in the relatively low support for government funding of investigative products outside of a clinical trial. In addition, while the Pharmaceutical Benefits Advisory Committee (PBAC) currently engages in robust price negotiation processes, attitudes towards delaying access to HCCMs in order to allow price negotiations to take their course were conflicting. While 81.2% of participants believed patients shouldn’t have to wait for negotiations to be completed before accessing a medicine, 69.3% believed price negotiations were warranted, even if this led to the </w:t>
      </w:r>
      <w:r w:rsidR="00124702">
        <w:t>pharmaceutical company</w:t>
      </w:r>
      <w:r>
        <w:t xml:space="preserve"> refusing to sell the medicine in Australia. This tension suggests the need for further research to elucidate the parameters under which delaying access to medicines for cost reasons is acceptable to the public.</w:t>
      </w:r>
    </w:p>
    <w:p w14:paraId="464AB61F" w14:textId="77777777" w:rsidR="002849A4" w:rsidRDefault="002849A4" w:rsidP="007E53E1">
      <w:pPr>
        <w:spacing w:line="480" w:lineRule="auto"/>
      </w:pPr>
    </w:p>
    <w:p w14:paraId="3B398BDE" w14:textId="7143A787" w:rsidR="002849A4" w:rsidRDefault="002849A4" w:rsidP="007E53E1">
      <w:pPr>
        <w:spacing w:line="480" w:lineRule="auto"/>
      </w:pPr>
      <w:r>
        <w:t>Third, there is strong public support for the establishment of a separate cancer drug fund in Australia, which suggests the public believes medicines to treat cancer deserve special treatment. This is significant as another study of the attitudes of the Australian public has shown that the many consider the severity of disease to be the greatest priority for funding medicines, regardless of what the disease itself might be</w:t>
      </w:r>
      <w:r>
        <w:rPr>
          <w:noProof/>
        </w:rPr>
        <w:t>(1</w:t>
      </w:r>
      <w:r w:rsidR="000E3940">
        <w:rPr>
          <w:noProof/>
        </w:rPr>
        <w:t>7</w:t>
      </w:r>
      <w:r>
        <w:rPr>
          <w:noProof/>
        </w:rPr>
        <w:t>)</w:t>
      </w:r>
      <w:r w:rsidRPr="00A82E5B">
        <w:rPr>
          <w:color w:val="000000" w:themeColor="text1"/>
        </w:rPr>
        <w:t>.</w:t>
      </w:r>
      <w:r w:rsidRPr="00963A54">
        <w:rPr>
          <w:color w:val="000000" w:themeColor="text1"/>
        </w:rPr>
        <w:t xml:space="preserve"> </w:t>
      </w:r>
      <w:r>
        <w:t xml:space="preserve">This could however simply reflect that the Australian public conflates “cancer” with “severity”. </w:t>
      </w:r>
    </w:p>
    <w:p w14:paraId="29B79DDD" w14:textId="77777777" w:rsidR="002849A4" w:rsidRDefault="002849A4" w:rsidP="007E53E1">
      <w:pPr>
        <w:spacing w:line="480" w:lineRule="auto"/>
      </w:pPr>
    </w:p>
    <w:p w14:paraId="042FF570" w14:textId="77777777" w:rsidR="002849A4" w:rsidRDefault="002849A4" w:rsidP="007E53E1">
      <w:pPr>
        <w:spacing w:line="480" w:lineRule="auto"/>
      </w:pPr>
      <w:r>
        <w:t xml:space="preserve">Fourth, while there was public support for patient co-payments, it was believed to be unfair to require patients to contribute to costs if these contributions were so high that only some patients could afford it.  The public was also ambivalent towards alternative access mechanisms (e.g. compassionate access, through hospital) where there is no standardized procedure for ensuring fair access. The two primary reasons that participants had for wanting governments to fund </w:t>
      </w:r>
      <w:r>
        <w:lastRenderedPageBreak/>
        <w:t>medicines were to ensure equitable access and respond to patient needs. This suggests that further work is required to address the fundamental tension between</w:t>
      </w:r>
      <w:r w:rsidR="0018321F">
        <w:t xml:space="preserve"> </w:t>
      </w:r>
      <w:r>
        <w:t xml:space="preserve">equity of access and responding to </w:t>
      </w:r>
      <w:proofErr w:type="gramStart"/>
      <w:r>
        <w:t>particular patient</w:t>
      </w:r>
      <w:proofErr w:type="gramEnd"/>
      <w:r>
        <w:t xml:space="preserve"> groups in need.    </w:t>
      </w:r>
    </w:p>
    <w:p w14:paraId="3EE78E79" w14:textId="77777777" w:rsidR="002849A4" w:rsidRDefault="002849A4" w:rsidP="007E53E1">
      <w:pPr>
        <w:spacing w:line="480" w:lineRule="auto"/>
      </w:pPr>
    </w:p>
    <w:p w14:paraId="5451880E" w14:textId="596546A0" w:rsidR="002849A4" w:rsidRDefault="002849A4" w:rsidP="007E53E1">
      <w:pPr>
        <w:spacing w:line="480" w:lineRule="auto"/>
      </w:pPr>
      <w:r>
        <w:t xml:space="preserve">Most of the Australian public were in favor of allowing patients to import their own medicines from overseas if they paid for these medicines themselves, particularly if sourced from a reputable supplier, or approved in another country. This seems at odds with the attitudes expressed about co-payments that supported the view that ability to pay should not dictate access. This is also significant as it suggests that there might be interest in emerging “buyer clubs” such as the </w:t>
      </w:r>
      <w:proofErr w:type="spellStart"/>
      <w:r>
        <w:t>SocialMedWork</w:t>
      </w:r>
      <w:proofErr w:type="spellEnd"/>
      <w:r>
        <w:t xml:space="preserve"> which is licensed by the Dutch Ministry of Health and has been advertising its services in Australia</w:t>
      </w:r>
      <w:r>
        <w:rPr>
          <w:noProof/>
        </w:rPr>
        <w:t>(</w:t>
      </w:r>
      <w:r w:rsidR="000E3940">
        <w:rPr>
          <w:noProof/>
        </w:rPr>
        <w:t>2</w:t>
      </w:r>
      <w:r w:rsidR="00131AA5">
        <w:rPr>
          <w:noProof/>
        </w:rPr>
        <w:t>7</w:t>
      </w:r>
      <w:r>
        <w:rPr>
          <w:noProof/>
        </w:rPr>
        <w:t>)</w:t>
      </w:r>
      <w:r>
        <w:t xml:space="preserve">. Careful thought therefore needs to be given to the implications of such an approach, as these schemes bypass established quality control mechanisms and national control over medicines supply. </w:t>
      </w:r>
    </w:p>
    <w:p w14:paraId="56DD6198" w14:textId="77777777" w:rsidR="002849A4" w:rsidRDefault="002849A4" w:rsidP="007E53E1">
      <w:pPr>
        <w:spacing w:line="480" w:lineRule="auto"/>
      </w:pPr>
    </w:p>
    <w:p w14:paraId="05F5DC43" w14:textId="1D53487C" w:rsidR="002849A4" w:rsidRDefault="002849A4" w:rsidP="007E53E1">
      <w:pPr>
        <w:spacing w:line="480" w:lineRule="auto"/>
      </w:pPr>
      <w:proofErr w:type="gramStart"/>
      <w:r>
        <w:t>A number of</w:t>
      </w:r>
      <w:proofErr w:type="gramEnd"/>
      <w:r>
        <w:t xml:space="preserve"> demographic factors strongly influenced responses to some</w:t>
      </w:r>
      <w:r w:rsidR="00264C85">
        <w:t xml:space="preserve"> </w:t>
      </w:r>
      <w:r>
        <w:t>questions which highlights the need for ensuring appropriate representation in decision-making processes (see Table 1).  For example, women were more oriented towards justice, equity and solidarity than were men (see for instance Q1.2d and 2.3d in Table 1). This may reflect the fact that moral orientations are gendered and/or the fact that women have traditionally taken more responsibility for care of patients and family members and so have a greater experience of illness and its social implication</w:t>
      </w:r>
      <w:r w:rsidR="00F172DE">
        <w:t>s</w:t>
      </w:r>
      <w:r>
        <w:rPr>
          <w:noProof/>
        </w:rPr>
        <w:t>(2</w:t>
      </w:r>
      <w:r w:rsidR="00131AA5">
        <w:rPr>
          <w:noProof/>
        </w:rPr>
        <w:t>8</w:t>
      </w:r>
      <w:r>
        <w:rPr>
          <w:noProof/>
        </w:rPr>
        <w:t>)</w:t>
      </w:r>
      <w:r w:rsidRPr="00FE19D8">
        <w:t>. Age also seemed to impact upon participants’ views.</w:t>
      </w:r>
      <w:r>
        <w:t xml:space="preserve"> Y</w:t>
      </w:r>
      <w:r w:rsidRPr="00FE19D8">
        <w:t>ounger participants appeared to be more attuned to issues of access (Q3.5 &amp; Q3.7), sustainability (for instance Q2.1a in Table 1) and appear to have less trust in experts (for instance Q4.1d in Table 1).</w:t>
      </w:r>
      <w:r>
        <w:t xml:space="preserve">  Perhaps unsurprisingly, wealth and political orientation also impact upon the ways in which people believe that health systems should be </w:t>
      </w:r>
      <w:r w:rsidR="00264C85">
        <w:t>organized</w:t>
      </w:r>
      <w:r>
        <w:t xml:space="preserve"> and funded. </w:t>
      </w:r>
      <w:r>
        <w:lastRenderedPageBreak/>
        <w:t>Again, this</w:t>
      </w:r>
      <w:r w:rsidR="0018321F">
        <w:t xml:space="preserve"> p</w:t>
      </w:r>
      <w:r>
        <w:t xml:space="preserve">oints to the need to ensure that all social and political groups are included in system design. </w:t>
      </w:r>
    </w:p>
    <w:p w14:paraId="440FBA3A" w14:textId="77777777" w:rsidR="002849A4" w:rsidRDefault="002849A4" w:rsidP="007E53E1">
      <w:pPr>
        <w:spacing w:line="480" w:lineRule="auto"/>
      </w:pPr>
    </w:p>
    <w:p w14:paraId="0B4C99DF" w14:textId="3BD1EAFB" w:rsidR="00E95F29" w:rsidRDefault="002849A4" w:rsidP="007E53E1">
      <w:pPr>
        <w:spacing w:line="480" w:lineRule="auto"/>
      </w:pPr>
      <w:r w:rsidRPr="0018293E">
        <w:t>Interestingly, family history</w:t>
      </w:r>
      <w:r w:rsidRPr="005C52BE">
        <w:t xml:space="preserve"> of cancer </w:t>
      </w:r>
      <w:r>
        <w:t>and</w:t>
      </w:r>
      <w:r w:rsidRPr="005C52BE">
        <w:t xml:space="preserve"> health status were </w:t>
      </w:r>
      <w:r>
        <w:t xml:space="preserve">not </w:t>
      </w:r>
      <w:r w:rsidRPr="005C52BE">
        <w:t>statistically significant factor</w:t>
      </w:r>
      <w:r>
        <w:t>s</w:t>
      </w:r>
      <w:r w:rsidRPr="005C52BE">
        <w:t xml:space="preserve"> for any question</w:t>
      </w:r>
      <w:r w:rsidRPr="001175C5">
        <w:t xml:space="preserve">. This </w:t>
      </w:r>
      <w:r>
        <w:t>seems to suggest</w:t>
      </w:r>
      <w:r w:rsidRPr="001175C5">
        <w:t xml:space="preserve"> that the funding of medicines is </w:t>
      </w:r>
      <w:r>
        <w:t xml:space="preserve">perceived to be </w:t>
      </w:r>
      <w:r w:rsidRPr="001175C5">
        <w:t xml:space="preserve">a broad societal issue, and that the Australian public is generally </w:t>
      </w:r>
      <w:r w:rsidR="00282FE0">
        <w:t>“</w:t>
      </w:r>
      <w:r w:rsidRPr="001175C5">
        <w:t>civic-minded</w:t>
      </w:r>
      <w:r w:rsidR="00282FE0">
        <w:t>”</w:t>
      </w:r>
      <w:r w:rsidRPr="001175C5">
        <w:t xml:space="preserve"> in their views about funding </w:t>
      </w:r>
      <w:r>
        <w:t>of medicines. Having a</w:t>
      </w:r>
      <w:r w:rsidRPr="005C52BE">
        <w:t xml:space="preserve"> personal history of cancer was only statistically significant for a single question</w:t>
      </w:r>
      <w:r>
        <w:t xml:space="preserve"> and was associated with less support for personal importation of medicines. This deserves further investigation and could possibly be related to concerns around the quality and safety of imported products, lack of support for these products, or the belief that patients shouldn’t need to resort to such measures.</w:t>
      </w:r>
    </w:p>
    <w:p w14:paraId="6D42BE43" w14:textId="77777777" w:rsidR="00727A73" w:rsidRPr="00BE480A" w:rsidRDefault="00727A73" w:rsidP="007E53E1">
      <w:pPr>
        <w:spacing w:line="480" w:lineRule="auto"/>
      </w:pPr>
    </w:p>
    <w:p w14:paraId="7CB27116" w14:textId="77777777" w:rsidR="002849A4" w:rsidRPr="00923A3E" w:rsidRDefault="00923A3E" w:rsidP="00923A3E">
      <w:pPr>
        <w:rPr>
          <w:b/>
          <w:bCs/>
        </w:rPr>
      </w:pPr>
      <w:r w:rsidRPr="00923A3E">
        <w:rPr>
          <w:b/>
          <w:bCs/>
        </w:rPr>
        <w:t>CONCLUSION</w:t>
      </w:r>
    </w:p>
    <w:p w14:paraId="64A94736" w14:textId="1F108727" w:rsidR="002849A4" w:rsidRDefault="002849A4" w:rsidP="007E53E1">
      <w:pPr>
        <w:spacing w:line="480" w:lineRule="auto"/>
      </w:pPr>
      <w:r>
        <w:t xml:space="preserve">This study provides the first comprehensive account of the views of the Australian public </w:t>
      </w:r>
      <w:r w:rsidR="00264C85">
        <w:t xml:space="preserve">of </w:t>
      </w:r>
      <w:r>
        <w:t xml:space="preserve">the funding of HCCMs. </w:t>
      </w:r>
      <w:r w:rsidR="0014559C">
        <w:t xml:space="preserve">It explores </w:t>
      </w:r>
      <w:r w:rsidR="00282FE0">
        <w:t>both</w:t>
      </w:r>
      <w:r w:rsidR="0014559C">
        <w:t xml:space="preserve"> </w:t>
      </w:r>
      <w:r w:rsidR="00282FE0">
        <w:t>general</w:t>
      </w:r>
      <w:r w:rsidR="0014559C">
        <w:t xml:space="preserve"> values and </w:t>
      </w:r>
      <w:r w:rsidR="00282FE0">
        <w:t xml:space="preserve">preferences regarding </w:t>
      </w:r>
      <w:r w:rsidR="0014559C">
        <w:t xml:space="preserve">specific strategies by which access is granted. </w:t>
      </w:r>
      <w:r>
        <w:t>These results provide important</w:t>
      </w:r>
      <w:r w:rsidR="00082AC5">
        <w:t xml:space="preserve"> </w:t>
      </w:r>
      <w:r>
        <w:t>insights for the development of policy for socially and politically appropriate funding of HCCMs in Australia and highlight ambiguities that require further clarification</w:t>
      </w:r>
      <w:r w:rsidR="0014559C">
        <w:t xml:space="preserve">. These results </w:t>
      </w:r>
      <w:r w:rsidR="00282FE0">
        <w:t>may be</w:t>
      </w:r>
      <w:r w:rsidR="0014559C">
        <w:t xml:space="preserve"> relevant to countries </w:t>
      </w:r>
      <w:r w:rsidR="00282FE0">
        <w:t>where the public shares</w:t>
      </w:r>
      <w:r w:rsidR="0005559D">
        <w:t xml:space="preserve"> </w:t>
      </w:r>
      <w:r w:rsidR="0014559C">
        <w:t>similar attitudes to those of Australians when it comes to the funding of HCCMs. In broad terms o</w:t>
      </w:r>
      <w:r>
        <w:t>ur results suggest that t</w:t>
      </w:r>
      <w:r w:rsidRPr="0015765E">
        <w:t xml:space="preserve">he Australian public </w:t>
      </w:r>
      <w:r>
        <w:t xml:space="preserve">strongly </w:t>
      </w:r>
      <w:r w:rsidRPr="0015765E">
        <w:t xml:space="preserve">supports government funding of </w:t>
      </w:r>
      <w:r>
        <w:t>HCCMs</w:t>
      </w:r>
      <w:r w:rsidRPr="0015765E">
        <w:t xml:space="preserve"> and value</w:t>
      </w:r>
      <w:r>
        <w:t xml:space="preserve">s </w:t>
      </w:r>
      <w:r w:rsidRPr="0015765E">
        <w:t>both equity and access</w:t>
      </w:r>
      <w:r>
        <w:t xml:space="preserve">. Equally, however, the public is uncertain about how these goods are to be balanced and achieved, and such ambivalence needs to be both further explored and </w:t>
      </w:r>
      <w:r w:rsidR="0014559C">
        <w:t xml:space="preserve">accommodated to </w:t>
      </w:r>
      <w:r w:rsidR="00E05607">
        <w:t>improve</w:t>
      </w:r>
      <w:r w:rsidR="0014559C">
        <w:t xml:space="preserve"> access to HCCMs.</w:t>
      </w:r>
    </w:p>
    <w:p w14:paraId="4D1DC3F3" w14:textId="77777777" w:rsidR="00923A3E" w:rsidRDefault="00923A3E" w:rsidP="007E53E1">
      <w:pPr>
        <w:pStyle w:val="EndNoteBibliography"/>
        <w:spacing w:line="480" w:lineRule="auto"/>
      </w:pPr>
    </w:p>
    <w:p w14:paraId="09F3193F" w14:textId="77777777" w:rsidR="00923A3E" w:rsidRPr="00923A3E" w:rsidRDefault="00923A3E" w:rsidP="007E53E1">
      <w:pPr>
        <w:pStyle w:val="EndNoteBibliography"/>
        <w:spacing w:line="480" w:lineRule="auto"/>
        <w:rPr>
          <w:b/>
          <w:bCs/>
        </w:rPr>
      </w:pPr>
      <w:r w:rsidRPr="00923A3E">
        <w:rPr>
          <w:b/>
          <w:bCs/>
        </w:rPr>
        <w:t>REFERENCES</w:t>
      </w:r>
    </w:p>
    <w:p w14:paraId="4E1C42CE" w14:textId="77777777" w:rsidR="002849A4" w:rsidRPr="004A1E09" w:rsidRDefault="002849A4" w:rsidP="007E53E1">
      <w:pPr>
        <w:pStyle w:val="EndNoteBibliography"/>
        <w:spacing w:line="480" w:lineRule="auto"/>
      </w:pPr>
      <w:r w:rsidRPr="004A1E09">
        <w:lastRenderedPageBreak/>
        <w:t>1.</w:t>
      </w:r>
      <w:r w:rsidRPr="004A1E09">
        <w:tab/>
        <w:t xml:space="preserve">Dagenais GR, Leong DP, Rangarajan S, Lanas F, Lopez-Jaramillo P, Gupta R, et al. Variations in common diseases, hospital admissions, and deaths in middle-aged adults in 21 countries from five continents (PURE): a prospective cohort study. Lancet. </w:t>
      </w:r>
      <w:r w:rsidR="007E53E1">
        <w:t xml:space="preserve">2020; </w:t>
      </w:r>
      <w:r w:rsidR="007E53E1" w:rsidRPr="007E53E1">
        <w:t>395:785-794</w:t>
      </w:r>
    </w:p>
    <w:p w14:paraId="2D3BA62A" w14:textId="5665DDED" w:rsidR="002849A4" w:rsidRDefault="002849A4" w:rsidP="007E53E1">
      <w:pPr>
        <w:pStyle w:val="EndNoteBibliography"/>
        <w:spacing w:line="480" w:lineRule="auto"/>
      </w:pPr>
      <w:r w:rsidRPr="004A1E09">
        <w:t>2.</w:t>
      </w:r>
      <w:r w:rsidRPr="004A1E09">
        <w:tab/>
        <w:t>Australian Institute of Health and Welfare. Cancer in Australia 2019. Canberra</w:t>
      </w:r>
      <w:r w:rsidR="007C5650">
        <w:t>.</w:t>
      </w:r>
      <w:r w:rsidRPr="004A1E09">
        <w:t xml:space="preserve"> 2019.</w:t>
      </w:r>
      <w:r w:rsidR="007C5650">
        <w:t xml:space="preserve"> </w:t>
      </w:r>
      <w:hyperlink r:id="rId7" w:history="1">
        <w:r w:rsidR="00E23F34" w:rsidRPr="005D0758">
          <w:rPr>
            <w:rStyle w:val="Hyperlink"/>
          </w:rPr>
          <w:t>https://www.aihw.gov.au/reports/cancer/cancer-in-australia-2019/contents/table-of-contents. Accessed 23 April 2020</w:t>
        </w:r>
      </w:hyperlink>
      <w:r w:rsidR="007C5650">
        <w:t>.</w:t>
      </w:r>
    </w:p>
    <w:p w14:paraId="31EFCD79" w14:textId="1CFFA07F" w:rsidR="00E23F34" w:rsidRPr="004A1E09" w:rsidRDefault="00E23F34" w:rsidP="007E53E1">
      <w:pPr>
        <w:pStyle w:val="EndNoteBibliography"/>
        <w:spacing w:line="480" w:lineRule="auto"/>
      </w:pPr>
      <w:r>
        <w:t>3.</w:t>
      </w:r>
      <w:r>
        <w:tab/>
        <w:t>Lichtenberg FR. The impact of pharmaceutical innovation on premature mortality, hospital separations, and cancer survival in Australia. Economic Record. 2017; 93: 353-378.</w:t>
      </w:r>
    </w:p>
    <w:p w14:paraId="64625E1D" w14:textId="093379D2" w:rsidR="002849A4" w:rsidRPr="004A1E09" w:rsidRDefault="000E3940" w:rsidP="007E53E1">
      <w:pPr>
        <w:pStyle w:val="EndNoteBibliography"/>
        <w:spacing w:line="480" w:lineRule="auto"/>
      </w:pPr>
      <w:r>
        <w:t>4</w:t>
      </w:r>
      <w:r w:rsidR="002849A4" w:rsidRPr="004A1E09">
        <w:t>.</w:t>
      </w:r>
      <w:r w:rsidR="002849A4" w:rsidRPr="004A1E09">
        <w:tab/>
      </w:r>
      <w:r w:rsidR="007C5650">
        <w:t xml:space="preserve">Department of Health. </w:t>
      </w:r>
      <w:r w:rsidR="002849A4" w:rsidRPr="004A1E09">
        <w:t>Expanded access to cutting edge CAR T-cell therapy</w:t>
      </w:r>
      <w:r w:rsidR="007C5650">
        <w:t>.</w:t>
      </w:r>
      <w:r w:rsidR="002849A4" w:rsidRPr="004A1E09">
        <w:t xml:space="preserve"> 2020.</w:t>
      </w:r>
      <w:r w:rsidR="007C5650">
        <w:t xml:space="preserve"> </w:t>
      </w:r>
      <w:hyperlink r:id="rId8" w:history="1">
        <w:r w:rsidR="007C5650" w:rsidRPr="007C5650">
          <w:rPr>
            <w:rStyle w:val="Hyperlink"/>
          </w:rPr>
          <w:t>https://www.health.gov.au/ministers/the-hon-greg-hunt-mp/media/expanded-access-to-cutting-edge-car-t-cell-therapy.</w:t>
        </w:r>
      </w:hyperlink>
      <w:r w:rsidR="007C5650">
        <w:t xml:space="preserve"> Accessed 23 April 2020.</w:t>
      </w:r>
    </w:p>
    <w:p w14:paraId="2CC17BF7" w14:textId="15BCE1FC" w:rsidR="002849A4" w:rsidRPr="004A1E09" w:rsidRDefault="000E3940" w:rsidP="007E53E1">
      <w:pPr>
        <w:pStyle w:val="EndNoteBibliography"/>
        <w:spacing w:line="480" w:lineRule="auto"/>
      </w:pPr>
      <w:r>
        <w:t>5</w:t>
      </w:r>
      <w:r w:rsidR="002849A4" w:rsidRPr="004A1E09">
        <w:t>.</w:t>
      </w:r>
      <w:r w:rsidR="002849A4" w:rsidRPr="004A1E09">
        <w:tab/>
        <w:t>Karikios DJ, Schofield D, Salkeld G, Mann KP, Trotman J, Stockler MR. Rising cost of anticancer drugs in Australia. Intern</w:t>
      </w:r>
      <w:r w:rsidR="007E53E1">
        <w:t>al</w:t>
      </w:r>
      <w:r w:rsidR="002849A4" w:rsidRPr="004A1E09">
        <w:t xml:space="preserve"> Med</w:t>
      </w:r>
      <w:r w:rsidR="007E53E1">
        <w:t>icine</w:t>
      </w:r>
      <w:r w:rsidR="002849A4" w:rsidRPr="004A1E09">
        <w:t xml:space="preserve"> J</w:t>
      </w:r>
      <w:r w:rsidR="007E53E1">
        <w:t>ournal</w:t>
      </w:r>
      <w:r w:rsidR="002849A4" w:rsidRPr="004A1E09">
        <w:t>. 2014;44(5):458-63.</w:t>
      </w:r>
    </w:p>
    <w:p w14:paraId="15BD8F1F" w14:textId="0A363CB8" w:rsidR="002849A4" w:rsidRPr="004A1E09" w:rsidRDefault="000E3940" w:rsidP="007E53E1">
      <w:pPr>
        <w:pStyle w:val="EndNoteBibliography"/>
        <w:spacing w:line="480" w:lineRule="auto"/>
      </w:pPr>
      <w:r>
        <w:t>6</w:t>
      </w:r>
      <w:r w:rsidR="002849A4" w:rsidRPr="004A1E09">
        <w:t>.</w:t>
      </w:r>
      <w:r w:rsidR="002849A4" w:rsidRPr="004A1E09">
        <w:tab/>
        <w:t>Department of Health. PBS Expenditure and Prescriptions Report 1 July 2018 to 30 June 2019. 2019.</w:t>
      </w:r>
      <w:r w:rsidR="007C5650">
        <w:t xml:space="preserve"> </w:t>
      </w:r>
      <w:hyperlink r:id="rId9" w:history="1">
        <w:r w:rsidR="007C5650" w:rsidRPr="007C5650">
          <w:rPr>
            <w:rFonts w:cstheme="minorBidi"/>
            <w:noProof w:val="0"/>
            <w:color w:val="0000FF"/>
            <w:u w:val="single"/>
          </w:rPr>
          <w:t>https://www.pbs.gov.au/statistics/expenditure-prescriptions/2018-2019/PBS_Expenditure_and_Prescriptions_Report_1-July-2018_to_30-June-2019.pdf</w:t>
        </w:r>
      </w:hyperlink>
      <w:r w:rsidR="007C5650">
        <w:rPr>
          <w:rFonts w:cstheme="minorBidi"/>
          <w:noProof w:val="0"/>
        </w:rPr>
        <w:t>. Accessed 23 April 2020.</w:t>
      </w:r>
    </w:p>
    <w:p w14:paraId="24284A51" w14:textId="5DC40CD9" w:rsidR="002849A4" w:rsidRPr="004A1E09" w:rsidRDefault="000E3940" w:rsidP="007E53E1">
      <w:pPr>
        <w:pStyle w:val="EndNoteBibliography"/>
        <w:spacing w:line="480" w:lineRule="auto"/>
      </w:pPr>
      <w:r>
        <w:t>7</w:t>
      </w:r>
      <w:r w:rsidR="002849A4" w:rsidRPr="004A1E09">
        <w:t>.</w:t>
      </w:r>
      <w:r w:rsidR="002849A4" w:rsidRPr="004A1E09">
        <w:tab/>
        <w:t xml:space="preserve">Downing NS, Aminawung JA, Shah ND, Krumholz HM, Ross JS. Clinical trial evidence supporting FDA approval of novel therapeutic agents, 2005-2012. </w:t>
      </w:r>
      <w:r w:rsidR="007E53E1">
        <w:t>JAMA</w:t>
      </w:r>
      <w:r w:rsidR="002849A4" w:rsidRPr="004A1E09">
        <w:t>. 2014;311(4):368-77.</w:t>
      </w:r>
    </w:p>
    <w:p w14:paraId="38B7C5CA" w14:textId="452DCEE7" w:rsidR="002849A4" w:rsidRPr="004A1E09" w:rsidRDefault="000E3940" w:rsidP="007E53E1">
      <w:pPr>
        <w:pStyle w:val="EndNoteBibliography"/>
        <w:spacing w:line="480" w:lineRule="auto"/>
      </w:pPr>
      <w:r>
        <w:t>8</w:t>
      </w:r>
      <w:r w:rsidR="002849A4" w:rsidRPr="004A1E09">
        <w:t>.</w:t>
      </w:r>
      <w:r w:rsidR="002849A4" w:rsidRPr="004A1E09">
        <w:tab/>
        <w:t>US Food &amp; Drug Administration. 22 case studies where phase 2 and phase 3 trials had divergent results. 2017.</w:t>
      </w:r>
      <w:r w:rsidR="007C5650">
        <w:t xml:space="preserve"> </w:t>
      </w:r>
      <w:hyperlink r:id="rId10" w:history="1">
        <w:r w:rsidR="007C5650" w:rsidRPr="007C5650">
          <w:rPr>
            <w:rFonts w:cstheme="minorBidi"/>
            <w:noProof w:val="0"/>
            <w:color w:val="0000FF"/>
            <w:u w:val="single"/>
          </w:rPr>
          <w:t>https://www.fda.gov/media/102332/download</w:t>
        </w:r>
      </w:hyperlink>
      <w:r w:rsidR="007C5650">
        <w:rPr>
          <w:rFonts w:cstheme="minorBidi"/>
          <w:noProof w:val="0"/>
        </w:rPr>
        <w:t>. Accessed 23 April 2020.</w:t>
      </w:r>
    </w:p>
    <w:p w14:paraId="7D2BB158" w14:textId="0967473E" w:rsidR="002849A4" w:rsidRPr="004A1E09" w:rsidRDefault="000E3940" w:rsidP="007E53E1">
      <w:pPr>
        <w:pStyle w:val="EndNoteBibliography"/>
        <w:spacing w:line="480" w:lineRule="auto"/>
      </w:pPr>
      <w:r>
        <w:t>9</w:t>
      </w:r>
      <w:r w:rsidR="002849A4" w:rsidRPr="004A1E09">
        <w:t>.</w:t>
      </w:r>
      <w:r w:rsidR="002849A4" w:rsidRPr="004A1E09">
        <w:tab/>
        <w:t>Yang L, Yu H, Dong S, Zhong Y, Hu S. Recognizing and managing on toxicities in cancer immunotherapy. Tumour Biol</w:t>
      </w:r>
      <w:r w:rsidR="007E53E1">
        <w:t>ogy</w:t>
      </w:r>
      <w:r w:rsidR="002849A4" w:rsidRPr="004A1E09">
        <w:t>. 2017;39(3):1010428317694542.</w:t>
      </w:r>
    </w:p>
    <w:p w14:paraId="103F6A71" w14:textId="5A24C866" w:rsidR="002849A4" w:rsidRPr="004A1E09" w:rsidRDefault="000E3940" w:rsidP="007E53E1">
      <w:pPr>
        <w:pStyle w:val="EndNoteBibliography"/>
        <w:spacing w:line="480" w:lineRule="auto"/>
      </w:pPr>
      <w:r>
        <w:lastRenderedPageBreak/>
        <w:t>10</w:t>
      </w:r>
      <w:r w:rsidR="002849A4" w:rsidRPr="004A1E09">
        <w:t>.</w:t>
      </w:r>
      <w:r w:rsidR="002849A4" w:rsidRPr="004A1E09">
        <w:tab/>
        <w:t>Davis C, Naci H, Gurpinar E, Poplavska E, Pinto A, Aggarwal A. Availability of evidence of benefits on overall survival and quality of life of cancer drugs approved by European Medicines Agency: retrospective cohort study of drug approvals 2009-13. BMJ. 2017;359:j4530.</w:t>
      </w:r>
    </w:p>
    <w:p w14:paraId="6BE3330F" w14:textId="5028D7B5" w:rsidR="002849A4" w:rsidRDefault="002849A4" w:rsidP="007E53E1">
      <w:pPr>
        <w:pStyle w:val="EndNoteBibliography"/>
        <w:spacing w:line="480" w:lineRule="auto"/>
      </w:pPr>
      <w:r w:rsidRPr="004A1E09">
        <w:t>1</w:t>
      </w:r>
      <w:r w:rsidR="000E3940">
        <w:t>1</w:t>
      </w:r>
      <w:r w:rsidRPr="004A1E09">
        <w:t>.</w:t>
      </w:r>
      <w:r w:rsidRPr="004A1E09">
        <w:tab/>
        <w:t>Abelson J, Wagner F, DeJean D, Boesveld S, Gauvin FP, Bean S, et al. Public and Patient Involvement in Health Technology Assessment: A Framework for Action. Int</w:t>
      </w:r>
      <w:r w:rsidR="007E53E1">
        <w:t>ernational</w:t>
      </w:r>
      <w:r w:rsidRPr="004A1E09">
        <w:t xml:space="preserve"> J</w:t>
      </w:r>
      <w:r w:rsidR="007E53E1">
        <w:t>ournal of</w:t>
      </w:r>
      <w:r w:rsidRPr="004A1E09">
        <w:t xml:space="preserve"> Technol</w:t>
      </w:r>
      <w:r w:rsidR="007E53E1">
        <w:t>ogy</w:t>
      </w:r>
      <w:r w:rsidRPr="004A1E09">
        <w:t xml:space="preserve"> Assess</w:t>
      </w:r>
      <w:r w:rsidR="007E53E1">
        <w:t>ment in</w:t>
      </w:r>
      <w:r w:rsidRPr="004A1E09">
        <w:t xml:space="preserve"> Health Care. 2016;32(4):256-64.</w:t>
      </w:r>
    </w:p>
    <w:p w14:paraId="676AD222" w14:textId="581DAF4B" w:rsidR="00E23F34" w:rsidRDefault="00E23F34" w:rsidP="00E23F34">
      <w:pPr>
        <w:pStyle w:val="EndNoteBibliography"/>
        <w:spacing w:line="480" w:lineRule="auto"/>
      </w:pPr>
      <w:r>
        <w:t>1</w:t>
      </w:r>
      <w:r w:rsidR="000E3940">
        <w:t>2</w:t>
      </w:r>
      <w:r>
        <w:t>.</w:t>
      </w:r>
      <w:r>
        <w:tab/>
        <w:t xml:space="preserve">The Pharmaceutical Benefits Scheme. Consumer Input. </w:t>
      </w:r>
      <w:hyperlink r:id="rId11" w:history="1">
        <w:r w:rsidRPr="005D0758">
          <w:rPr>
            <w:rStyle w:val="Hyperlink"/>
          </w:rPr>
          <w:t>https://www.pbs.gov.au/pbs/industry/listing/procedure-guidance/6-consideration-submissions/6-7-consumer-input</w:t>
        </w:r>
      </w:hyperlink>
      <w:r>
        <w:t xml:space="preserve">. Accessed 24 August 2020. </w:t>
      </w:r>
      <w:r w:rsidRPr="00E23F34">
        <w:cr/>
      </w:r>
      <w:r>
        <w:t>1</w:t>
      </w:r>
      <w:r w:rsidR="000E3940">
        <w:t>3</w:t>
      </w:r>
      <w:r>
        <w:t>.</w:t>
      </w:r>
      <w:r>
        <w:tab/>
        <w:t xml:space="preserve">The Department of Health. Online comments to the Pharmaceutical Benefits Advsiory Committee. 2020. </w:t>
      </w:r>
      <w:hyperlink r:id="rId12" w:history="1">
        <w:r w:rsidRPr="005D0758">
          <w:rPr>
            <w:rStyle w:val="Hyperlink"/>
          </w:rPr>
          <w:t>https://www1.health.gov.au/internet/main/publishing.nsf/Content/PBAC_online_submission_form</w:t>
        </w:r>
      </w:hyperlink>
      <w:r>
        <w:t xml:space="preserve">. Accessed 24 August 2020. </w:t>
      </w:r>
    </w:p>
    <w:p w14:paraId="45ED32AD" w14:textId="125055EA" w:rsidR="00E23F34" w:rsidRDefault="00E23F34" w:rsidP="00E23F34">
      <w:pPr>
        <w:pStyle w:val="EndNoteBibliography"/>
        <w:spacing w:line="480" w:lineRule="auto"/>
      </w:pPr>
      <w:r>
        <w:t>1</w:t>
      </w:r>
      <w:r w:rsidR="000E3940">
        <w:t>4</w:t>
      </w:r>
      <w:r>
        <w:t>.</w:t>
      </w:r>
      <w:r>
        <w:tab/>
        <w:t>Olver I, Dodds S, Kenner J, Kerridge I, McGovern K, Milligan E, et al. Ethical considerations relating to healthcare resource allocation decisions. Internal Medicine Journal. 2019</w:t>
      </w:r>
      <w:r w:rsidR="000E3940">
        <w:t>; 49: 1364-1367.</w:t>
      </w:r>
    </w:p>
    <w:p w14:paraId="7E73AA21" w14:textId="00AE153C" w:rsidR="000E3940" w:rsidRPr="004A1E09" w:rsidRDefault="000E3940" w:rsidP="00E23F34">
      <w:pPr>
        <w:pStyle w:val="EndNoteBibliography"/>
        <w:spacing w:line="480" w:lineRule="auto"/>
      </w:pPr>
      <w:r>
        <w:t>15.</w:t>
      </w:r>
      <w:r>
        <w:tab/>
        <w:t xml:space="preserve">Saarni SI, Braunack-Mayer A, Hofmann B, Jan van der Wilt G. Different methods for ethical analysis in health technology assessment: an empirical study. International Journal of Technology Assessment in Health Care. 2011; 27: 305-312. </w:t>
      </w:r>
    </w:p>
    <w:p w14:paraId="062AC7A1" w14:textId="31A9F4B8" w:rsidR="002849A4" w:rsidRPr="004A1E09" w:rsidRDefault="002849A4" w:rsidP="007E53E1">
      <w:pPr>
        <w:pStyle w:val="EndNoteBibliography"/>
        <w:spacing w:line="480" w:lineRule="auto"/>
      </w:pPr>
      <w:r w:rsidRPr="004A1E09">
        <w:t>1</w:t>
      </w:r>
      <w:r w:rsidR="000E3940">
        <w:t>6</w:t>
      </w:r>
      <w:r w:rsidRPr="004A1E09">
        <w:t>.</w:t>
      </w:r>
      <w:r w:rsidRPr="004A1E09">
        <w:tab/>
        <w:t>Whitty JA, Ratcliffe J, Chen G, Scuffham PA. Australian Public Preferences for the Funding of New Health Technologies: A Comparison of Discrete Choice and Profile Case Best-Worst Scaling Methods. Med</w:t>
      </w:r>
      <w:r w:rsidR="007E53E1">
        <w:t>ical</w:t>
      </w:r>
      <w:r w:rsidRPr="004A1E09">
        <w:t xml:space="preserve"> Decis</w:t>
      </w:r>
      <w:r w:rsidR="007E53E1">
        <w:t>ion</w:t>
      </w:r>
      <w:r w:rsidRPr="004A1E09">
        <w:t xml:space="preserve"> Making. 2014;34(5):638-54.</w:t>
      </w:r>
    </w:p>
    <w:p w14:paraId="323924A9" w14:textId="668AA6FA" w:rsidR="002849A4" w:rsidRPr="004A1E09" w:rsidRDefault="002849A4" w:rsidP="007E53E1">
      <w:pPr>
        <w:pStyle w:val="EndNoteBibliography"/>
        <w:spacing w:line="480" w:lineRule="auto"/>
      </w:pPr>
      <w:r w:rsidRPr="004A1E09">
        <w:lastRenderedPageBreak/>
        <w:t>1</w:t>
      </w:r>
      <w:r w:rsidR="000E3940">
        <w:t>7</w:t>
      </w:r>
      <w:r w:rsidRPr="004A1E09">
        <w:t>.</w:t>
      </w:r>
      <w:r w:rsidRPr="004A1E09">
        <w:tab/>
        <w:t>Chim L, Salkeld G, Kelly PJ, Lipworth W, Hughes DA, Stockler MR. Community views on factors affecting medicines resource allocation: cross-sectional survey of 3080 adults in Australia. Aust</w:t>
      </w:r>
      <w:r w:rsidR="007E53E1">
        <w:t>ralian</w:t>
      </w:r>
      <w:r w:rsidRPr="004A1E09">
        <w:t xml:space="preserve"> Health Rev</w:t>
      </w:r>
      <w:r w:rsidR="007E53E1">
        <w:t>iew</w:t>
      </w:r>
      <w:r w:rsidRPr="004A1E09">
        <w:t>. 201</w:t>
      </w:r>
      <w:r w:rsidR="007E53E1">
        <w:t>9;</w:t>
      </w:r>
      <w:r w:rsidR="007E53E1" w:rsidRPr="007E53E1">
        <w:t xml:space="preserve"> 43(3):254-260</w:t>
      </w:r>
      <w:r w:rsidR="007E53E1">
        <w:t xml:space="preserve"> .</w:t>
      </w:r>
    </w:p>
    <w:p w14:paraId="55403193" w14:textId="7034ACBE" w:rsidR="002849A4" w:rsidRPr="004A1E09" w:rsidRDefault="002849A4" w:rsidP="007E53E1">
      <w:pPr>
        <w:pStyle w:val="EndNoteBibliography"/>
        <w:spacing w:line="480" w:lineRule="auto"/>
      </w:pPr>
      <w:r w:rsidRPr="004A1E09">
        <w:t>1</w:t>
      </w:r>
      <w:r w:rsidR="000E3940">
        <w:t>8</w:t>
      </w:r>
      <w:r w:rsidRPr="004A1E09">
        <w:t>.</w:t>
      </w:r>
      <w:r w:rsidRPr="004A1E09">
        <w:tab/>
        <w:t>MacLeod TE, Harris AH, Mahal A. Stated and Revealed Preferences for Funding New High-Cost Cancer Drugs: A Critical Review of the Evidence from Patients, the Public and Payers. Patient. 2016;</w:t>
      </w:r>
      <w:r w:rsidR="007E53E1">
        <w:t xml:space="preserve"> </w:t>
      </w:r>
      <w:r w:rsidRPr="004A1E09">
        <w:t>9(3):201-22.</w:t>
      </w:r>
    </w:p>
    <w:p w14:paraId="1ABAA780" w14:textId="2FD3F2C1" w:rsidR="002849A4" w:rsidRPr="004A1E09" w:rsidRDefault="002849A4" w:rsidP="007E53E1">
      <w:pPr>
        <w:pStyle w:val="EndNoteBibliography"/>
        <w:spacing w:line="480" w:lineRule="auto"/>
      </w:pPr>
      <w:r w:rsidRPr="004A1E09">
        <w:t>1</w:t>
      </w:r>
      <w:r w:rsidR="000E3940">
        <w:t>9</w:t>
      </w:r>
      <w:r w:rsidRPr="004A1E09">
        <w:t>.</w:t>
      </w:r>
      <w:r w:rsidRPr="004A1E09">
        <w:tab/>
        <w:t xml:space="preserve">Wortley S, Tong A, Howard K. Preferences for engagement in health technology assessment decision-making: a nominal group technique with members of the public. BMJ </w:t>
      </w:r>
      <w:r w:rsidR="007E53E1">
        <w:t>O</w:t>
      </w:r>
      <w:r w:rsidRPr="004A1E09">
        <w:t>pen. 2016;6(2):e010265.</w:t>
      </w:r>
    </w:p>
    <w:p w14:paraId="05B89DD7" w14:textId="7114A828" w:rsidR="002849A4" w:rsidRPr="004A1E09" w:rsidRDefault="000E3940" w:rsidP="007E53E1">
      <w:pPr>
        <w:pStyle w:val="EndNoteBibliography"/>
        <w:spacing w:line="480" w:lineRule="auto"/>
      </w:pPr>
      <w:r>
        <w:t>20</w:t>
      </w:r>
      <w:r w:rsidR="002849A4" w:rsidRPr="004A1E09">
        <w:t>.</w:t>
      </w:r>
      <w:r w:rsidR="002849A4" w:rsidRPr="004A1E09">
        <w:tab/>
        <w:t>Rozmovits L, Mai H, Chambers A, Chan K. What does meaningful look like? A qualitative study of patient engagement at the Pan-Canadian Oncology Drug Review: perspectives of reviewers and payers. J</w:t>
      </w:r>
      <w:r w:rsidR="007E53E1">
        <w:t>ournal of</w:t>
      </w:r>
      <w:r w:rsidR="002849A4" w:rsidRPr="004A1E09">
        <w:t xml:space="preserve"> Health Serv</w:t>
      </w:r>
      <w:r w:rsidR="007E53E1">
        <w:t>ices</w:t>
      </w:r>
      <w:r w:rsidR="002849A4" w:rsidRPr="004A1E09">
        <w:t xml:space="preserve"> Res</w:t>
      </w:r>
      <w:r w:rsidR="007E53E1">
        <w:t>earch</w:t>
      </w:r>
      <w:r w:rsidR="002849A4" w:rsidRPr="004A1E09">
        <w:t xml:space="preserve"> Policy. 2018;23(2):72-9.</w:t>
      </w:r>
    </w:p>
    <w:p w14:paraId="168BE766" w14:textId="408402C3" w:rsidR="002849A4" w:rsidRPr="004A1E09" w:rsidRDefault="000E3940" w:rsidP="007E53E1">
      <w:pPr>
        <w:pStyle w:val="EndNoteBibliography"/>
        <w:spacing w:line="480" w:lineRule="auto"/>
      </w:pPr>
      <w:r>
        <w:t>21</w:t>
      </w:r>
      <w:r w:rsidR="002849A4" w:rsidRPr="004A1E09">
        <w:t>.</w:t>
      </w:r>
      <w:r w:rsidR="002849A4" w:rsidRPr="004A1E09">
        <w:tab/>
        <w:t>Abelson J. Patient engagement in health technology assessment: what constitutes 'meaningful' and how we might get there. J</w:t>
      </w:r>
      <w:r w:rsidR="007C5650">
        <w:t>ournal of</w:t>
      </w:r>
      <w:r w:rsidR="002849A4" w:rsidRPr="004A1E09">
        <w:t xml:space="preserve"> Health Serv</w:t>
      </w:r>
      <w:r w:rsidR="007C5650">
        <w:t>ices</w:t>
      </w:r>
      <w:r w:rsidR="002849A4" w:rsidRPr="004A1E09">
        <w:t xml:space="preserve"> Res</w:t>
      </w:r>
      <w:r w:rsidR="007C5650">
        <w:t>earch</w:t>
      </w:r>
      <w:r w:rsidR="002849A4" w:rsidRPr="004A1E09">
        <w:t xml:space="preserve"> Policy. 2018;23(2):69-71.</w:t>
      </w:r>
    </w:p>
    <w:p w14:paraId="1038E091" w14:textId="236AD2FA" w:rsidR="002849A4" w:rsidRPr="004A1E09" w:rsidRDefault="000E3940" w:rsidP="007E53E1">
      <w:pPr>
        <w:pStyle w:val="EndNoteBibliography"/>
        <w:spacing w:line="480" w:lineRule="auto"/>
      </w:pPr>
      <w:r>
        <w:t>22</w:t>
      </w:r>
      <w:r w:rsidR="002849A4" w:rsidRPr="004A1E09">
        <w:t>.</w:t>
      </w:r>
      <w:r w:rsidR="002849A4" w:rsidRPr="004A1E09">
        <w:tab/>
        <w:t>Australian Bureau of Statistics. Private Health Insurance</w:t>
      </w:r>
      <w:r w:rsidR="007C5650">
        <w:t>.</w:t>
      </w:r>
      <w:r w:rsidR="002849A4" w:rsidRPr="004A1E09">
        <w:t xml:space="preserve"> 2017</w:t>
      </w:r>
      <w:r w:rsidR="007C5650">
        <w:t>.</w:t>
      </w:r>
      <w:r w:rsidR="002849A4" w:rsidRPr="004A1E09">
        <w:t xml:space="preserve"> </w:t>
      </w:r>
      <w:hyperlink r:id="rId13" w:history="1">
        <w:r w:rsidR="007C5650" w:rsidRPr="007C5650">
          <w:rPr>
            <w:rFonts w:cstheme="minorBidi"/>
            <w:noProof w:val="0"/>
            <w:color w:val="0000FF"/>
            <w:u w:val="single"/>
          </w:rPr>
          <w:t>https://www.abs.gov.au/ausstats/abs@.nsf/Lookup/by%20Subject/4364.0.55.002~2014-15~Main%20Features~Private%20health%20insurance~5</w:t>
        </w:r>
      </w:hyperlink>
      <w:r w:rsidR="007C5650">
        <w:rPr>
          <w:rFonts w:cstheme="minorBidi"/>
          <w:noProof w:val="0"/>
        </w:rPr>
        <w:t>. Accessed 23 April 2020.</w:t>
      </w:r>
    </w:p>
    <w:p w14:paraId="710BCA1A" w14:textId="542C7605" w:rsidR="002849A4" w:rsidRDefault="000E3940" w:rsidP="007C5650">
      <w:pPr>
        <w:pStyle w:val="EndNoteBibliography"/>
        <w:spacing w:line="480" w:lineRule="auto"/>
        <w:jc w:val="left"/>
      </w:pPr>
      <w:r>
        <w:t>23</w:t>
      </w:r>
      <w:r w:rsidR="002849A4" w:rsidRPr="004A1E09">
        <w:t>.</w:t>
      </w:r>
      <w:r w:rsidR="002849A4" w:rsidRPr="004A1E09">
        <w:tab/>
        <w:t>Census TableBuilder. 2016.</w:t>
      </w:r>
      <w:r w:rsidR="007C5650">
        <w:t xml:space="preserve"> </w:t>
      </w:r>
      <w:r w:rsidR="002849A4" w:rsidRPr="004A1E09">
        <w:rPr>
          <w:u w:val="single"/>
        </w:rPr>
        <w:t>https://guest.censusdata.abs.gov.au/webapi/jsf/dataCatalogueExplorer.xhtml</w:t>
      </w:r>
      <w:r w:rsidR="002849A4" w:rsidRPr="004A1E09">
        <w:t>.</w:t>
      </w:r>
      <w:r w:rsidR="007C5650">
        <w:t xml:space="preserve"> Accessed 23 April 2020. </w:t>
      </w:r>
    </w:p>
    <w:p w14:paraId="43EB3951" w14:textId="06CE7FB8" w:rsidR="00A40E75" w:rsidRDefault="00A40E75" w:rsidP="007C5650">
      <w:pPr>
        <w:pStyle w:val="EndNoteBibliography"/>
        <w:spacing w:line="480" w:lineRule="auto"/>
        <w:jc w:val="left"/>
      </w:pPr>
      <w:r w:rsidRPr="00A40E75">
        <w:t>24.</w:t>
      </w:r>
      <w:r w:rsidRPr="00A40E75">
        <w:tab/>
        <w:t>MacLeod TE, Harris AH, Mahal A. Stated and revealed preferences for funding new high-cost cancer drugs: a critical review of the evidence from patients, the public and payers. Patient. 2016; 9: 201-222.</w:t>
      </w:r>
    </w:p>
    <w:p w14:paraId="3B066FEA" w14:textId="592F40DB" w:rsidR="00131AA5" w:rsidRPr="00A40E75" w:rsidRDefault="00131AA5" w:rsidP="007C5650">
      <w:pPr>
        <w:pStyle w:val="EndNoteBibliography"/>
        <w:spacing w:line="480" w:lineRule="auto"/>
        <w:jc w:val="left"/>
      </w:pPr>
      <w:r>
        <w:lastRenderedPageBreak/>
        <w:t>25.</w:t>
      </w:r>
      <w:r>
        <w:tab/>
      </w:r>
      <w:r w:rsidRPr="00131AA5">
        <w:t>Oldendick R. (2008). Question order effects. In P. J. Lavrakas (Ed.), Encyclopedia of survey research methods (pp. 664-665). Thousand Oaks, CA: SAGE Publications, Inc. doi: 10.4135/9781412963947.n428</w:t>
      </w:r>
    </w:p>
    <w:p w14:paraId="12C5A0FC" w14:textId="05DABF12" w:rsidR="00A40E75" w:rsidRPr="00A40E75" w:rsidRDefault="00A40E75" w:rsidP="007C5650">
      <w:pPr>
        <w:pStyle w:val="EndNoteBibliography"/>
        <w:spacing w:line="480" w:lineRule="auto"/>
        <w:jc w:val="left"/>
      </w:pPr>
      <w:r w:rsidRPr="00A40E75">
        <w:t>2</w:t>
      </w:r>
      <w:r w:rsidR="00131AA5">
        <w:t>6</w:t>
      </w:r>
      <w:r w:rsidRPr="00A40E75">
        <w:t>.</w:t>
      </w:r>
      <w:r w:rsidRPr="00A40E75">
        <w:tab/>
        <w:t>Ghinea N, Lipworth W, Kerridge I. Does consumer engagement in health technology assessment enhance or undermine equity? Journal of Bioethical Inquiry. 2020; 17: 87-94.</w:t>
      </w:r>
    </w:p>
    <w:p w14:paraId="6C5546D2" w14:textId="33E0BB74" w:rsidR="002849A4" w:rsidRPr="004A1E09" w:rsidRDefault="000E3940" w:rsidP="007E53E1">
      <w:pPr>
        <w:pStyle w:val="EndNoteBibliography"/>
        <w:spacing w:line="480" w:lineRule="auto"/>
      </w:pPr>
      <w:r w:rsidRPr="00A40E75">
        <w:t>2</w:t>
      </w:r>
      <w:r w:rsidR="00131AA5">
        <w:t>7</w:t>
      </w:r>
      <w:r w:rsidR="002849A4" w:rsidRPr="00A40E75">
        <w:t>.</w:t>
      </w:r>
      <w:r w:rsidR="002849A4" w:rsidRPr="00A40E75">
        <w:tab/>
        <w:t xml:space="preserve">TheSocialMedwork. We help you access the latest approved medicines. </w:t>
      </w:r>
      <w:r w:rsidR="002849A4" w:rsidRPr="00A40E75">
        <w:rPr>
          <w:u w:val="single"/>
        </w:rPr>
        <w:t>https://thesocialmedwork.com/</w:t>
      </w:r>
      <w:r w:rsidR="002849A4" w:rsidRPr="00A40E75">
        <w:t>.</w:t>
      </w:r>
      <w:r w:rsidR="007C5650" w:rsidRPr="00A40E75">
        <w:t xml:space="preserve"> Accessed 23 April 2020.</w:t>
      </w:r>
    </w:p>
    <w:p w14:paraId="455EBF7C" w14:textId="4F842788" w:rsidR="002849A4" w:rsidRDefault="002849A4" w:rsidP="00373D1A">
      <w:pPr>
        <w:pStyle w:val="EndNoteBibliography"/>
        <w:spacing w:line="480" w:lineRule="auto"/>
      </w:pPr>
      <w:r w:rsidRPr="004A1E09">
        <w:t>2</w:t>
      </w:r>
      <w:r w:rsidR="00131AA5">
        <w:t>8</w:t>
      </w:r>
      <w:r w:rsidRPr="004A1E09">
        <w:t>.</w:t>
      </w:r>
      <w:r w:rsidRPr="004A1E09">
        <w:tab/>
        <w:t xml:space="preserve">Gilligan C, Attanucci J. </w:t>
      </w:r>
      <w:r w:rsidR="007C5650">
        <w:t>Two</w:t>
      </w:r>
      <w:r w:rsidRPr="004A1E09">
        <w:t xml:space="preserve"> Moral Orientations - Gender Differences and Similarities. Merrill</w:t>
      </w:r>
      <w:r w:rsidR="007C5650">
        <w:t>-</w:t>
      </w:r>
      <w:r w:rsidRPr="004A1E09">
        <w:t>Palmer Quart</w:t>
      </w:r>
      <w:r w:rsidR="007C5650">
        <w:t>erly</w:t>
      </w:r>
      <w:r w:rsidRPr="004A1E09">
        <w:t>. 1988;34(3):223-37.</w:t>
      </w:r>
    </w:p>
    <w:sectPr w:rsidR="002849A4" w:rsidSect="004A1E09">
      <w:headerReference w:type="default" r:id="rId14"/>
      <w:footerReference w:type="even"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8B9BE1" w14:textId="77777777" w:rsidR="00E36670" w:rsidRDefault="00E36670">
      <w:pPr>
        <w:spacing w:line="240" w:lineRule="auto"/>
      </w:pPr>
      <w:r>
        <w:separator/>
      </w:r>
    </w:p>
  </w:endnote>
  <w:endnote w:type="continuationSeparator" w:id="0">
    <w:p w14:paraId="3A21932B" w14:textId="77777777" w:rsidR="00E36670" w:rsidRDefault="00E36670">
      <w:pPr>
        <w:spacing w:line="240" w:lineRule="auto"/>
      </w:pPr>
      <w:r>
        <w:continuationSeparator/>
      </w:r>
    </w:p>
  </w:endnote>
  <w:endnote w:type="continuationNotice" w:id="1">
    <w:p w14:paraId="68E6ED62" w14:textId="77777777" w:rsidR="00E36670" w:rsidRDefault="00E3667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705103082"/>
      <w:docPartObj>
        <w:docPartGallery w:val="Page Numbers (Bottom of Page)"/>
        <w:docPartUnique/>
      </w:docPartObj>
    </w:sdtPr>
    <w:sdtEndPr>
      <w:rPr>
        <w:rStyle w:val="PageNumber"/>
      </w:rPr>
    </w:sdtEndPr>
    <w:sdtContent>
      <w:p w14:paraId="38479BBC" w14:textId="77777777" w:rsidR="00107C14" w:rsidRDefault="003E6305" w:rsidP="00DD18D0">
        <w:pPr>
          <w:pStyle w:val="Footer"/>
          <w:framePr w:wrap="none" w:vAnchor="text" w:hAnchor="margin" w:xAlign="right" w:y="1"/>
          <w:rPr>
            <w:rStyle w:val="PageNumber"/>
          </w:rPr>
        </w:pPr>
        <w:r>
          <w:rPr>
            <w:rStyle w:val="PageNumber"/>
          </w:rPr>
          <w:fldChar w:fldCharType="begin"/>
        </w:r>
        <w:r w:rsidR="00923A3E">
          <w:rPr>
            <w:rStyle w:val="PageNumber"/>
          </w:rPr>
          <w:instrText xml:space="preserve"> PAGE </w:instrText>
        </w:r>
        <w:r>
          <w:rPr>
            <w:rStyle w:val="PageNumber"/>
          </w:rPr>
          <w:fldChar w:fldCharType="end"/>
        </w:r>
      </w:p>
    </w:sdtContent>
  </w:sdt>
  <w:p w14:paraId="2E2E56A3" w14:textId="77777777" w:rsidR="00107C14" w:rsidRDefault="00E36670" w:rsidP="0028285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951691893"/>
      <w:docPartObj>
        <w:docPartGallery w:val="Page Numbers (Bottom of Page)"/>
        <w:docPartUnique/>
      </w:docPartObj>
    </w:sdtPr>
    <w:sdtEndPr>
      <w:rPr>
        <w:rStyle w:val="PageNumber"/>
      </w:rPr>
    </w:sdtEndPr>
    <w:sdtContent>
      <w:p w14:paraId="1EAD822B" w14:textId="77777777" w:rsidR="00107C14" w:rsidRDefault="003E6305" w:rsidP="00DD18D0">
        <w:pPr>
          <w:pStyle w:val="Footer"/>
          <w:framePr w:wrap="none" w:vAnchor="text" w:hAnchor="margin" w:xAlign="right" w:y="1"/>
          <w:rPr>
            <w:rStyle w:val="PageNumber"/>
          </w:rPr>
        </w:pPr>
        <w:r>
          <w:rPr>
            <w:rStyle w:val="PageNumber"/>
          </w:rPr>
          <w:fldChar w:fldCharType="begin"/>
        </w:r>
        <w:r w:rsidR="00923A3E">
          <w:rPr>
            <w:rStyle w:val="PageNumber"/>
          </w:rPr>
          <w:instrText xml:space="preserve"> PAGE </w:instrText>
        </w:r>
        <w:r>
          <w:rPr>
            <w:rStyle w:val="PageNumber"/>
          </w:rPr>
          <w:fldChar w:fldCharType="separate"/>
        </w:r>
        <w:r w:rsidR="00B4152F">
          <w:rPr>
            <w:rStyle w:val="PageNumber"/>
            <w:noProof/>
          </w:rPr>
          <w:t>2</w:t>
        </w:r>
        <w:r>
          <w:rPr>
            <w:rStyle w:val="PageNumber"/>
          </w:rPr>
          <w:fldChar w:fldCharType="end"/>
        </w:r>
      </w:p>
    </w:sdtContent>
  </w:sdt>
  <w:p w14:paraId="01678158" w14:textId="77777777" w:rsidR="00107C14" w:rsidRDefault="00E36670" w:rsidP="0028285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2986E9C" w14:textId="77777777" w:rsidR="00E36670" w:rsidRDefault="00E36670">
      <w:pPr>
        <w:spacing w:line="240" w:lineRule="auto"/>
      </w:pPr>
      <w:r>
        <w:separator/>
      </w:r>
    </w:p>
  </w:footnote>
  <w:footnote w:type="continuationSeparator" w:id="0">
    <w:p w14:paraId="191DED8E" w14:textId="77777777" w:rsidR="00E36670" w:rsidRDefault="00E36670">
      <w:pPr>
        <w:spacing w:line="240" w:lineRule="auto"/>
      </w:pPr>
      <w:r>
        <w:continuationSeparator/>
      </w:r>
    </w:p>
  </w:footnote>
  <w:footnote w:type="continuationNotice" w:id="1">
    <w:p w14:paraId="25CB13DB" w14:textId="77777777" w:rsidR="00E36670" w:rsidRDefault="00E3667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C31A7A" w14:textId="77777777" w:rsidR="0015765E" w:rsidRDefault="00E366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D74270"/>
    <w:multiLevelType w:val="hybridMultilevel"/>
    <w:tmpl w:val="7B76C7B6"/>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 w15:restartNumberingAfterBreak="0">
    <w:nsid w:val="0CA375A7"/>
    <w:multiLevelType w:val="hybridMultilevel"/>
    <w:tmpl w:val="21DC64BC"/>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 w15:restartNumberingAfterBreak="0">
    <w:nsid w:val="172759D5"/>
    <w:multiLevelType w:val="hybridMultilevel"/>
    <w:tmpl w:val="E79CD6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BB17A6"/>
    <w:multiLevelType w:val="hybridMultilevel"/>
    <w:tmpl w:val="BCB63B9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827CBD"/>
    <w:multiLevelType w:val="hybridMultilevel"/>
    <w:tmpl w:val="DEF0546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1E376803"/>
    <w:multiLevelType w:val="hybridMultilevel"/>
    <w:tmpl w:val="05144F2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BBA2C7C"/>
    <w:multiLevelType w:val="hybridMultilevel"/>
    <w:tmpl w:val="1DBAB2FE"/>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2C863D43"/>
    <w:multiLevelType w:val="hybridMultilevel"/>
    <w:tmpl w:val="46A806CE"/>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8" w15:restartNumberingAfterBreak="0">
    <w:nsid w:val="38EE41E6"/>
    <w:multiLevelType w:val="hybridMultilevel"/>
    <w:tmpl w:val="755A991A"/>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 w15:restartNumberingAfterBreak="0">
    <w:nsid w:val="3DF652DE"/>
    <w:multiLevelType w:val="hybridMultilevel"/>
    <w:tmpl w:val="BE600308"/>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45BB472F"/>
    <w:multiLevelType w:val="hybridMultilevel"/>
    <w:tmpl w:val="1A1CF910"/>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15:restartNumberingAfterBreak="0">
    <w:nsid w:val="51987E90"/>
    <w:multiLevelType w:val="hybridMultilevel"/>
    <w:tmpl w:val="40CC62F0"/>
    <w:lvl w:ilvl="0" w:tplc="EA766F1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B290D5C"/>
    <w:multiLevelType w:val="hybridMultilevel"/>
    <w:tmpl w:val="80780FAE"/>
    <w:lvl w:ilvl="0" w:tplc="539CFCC6">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0C76B53"/>
    <w:multiLevelType w:val="hybridMultilevel"/>
    <w:tmpl w:val="B2FCD980"/>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7275392F"/>
    <w:multiLevelType w:val="hybridMultilevel"/>
    <w:tmpl w:val="2188BF5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4829DC"/>
    <w:multiLevelType w:val="hybridMultilevel"/>
    <w:tmpl w:val="275409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78BF7FDF"/>
    <w:multiLevelType w:val="hybridMultilevel"/>
    <w:tmpl w:val="A1361D6C"/>
    <w:lvl w:ilvl="0" w:tplc="0C09000F">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 w15:restartNumberingAfterBreak="0">
    <w:nsid w:val="7C1A419D"/>
    <w:multiLevelType w:val="hybridMultilevel"/>
    <w:tmpl w:val="EF2606A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3">
      <w:start w:val="1"/>
      <w:numFmt w:val="bullet"/>
      <w:lvlText w:val="o"/>
      <w:lvlJc w:val="left"/>
      <w:pPr>
        <w:ind w:left="2160" w:hanging="360"/>
      </w:pPr>
      <w:rPr>
        <w:rFonts w:ascii="Courier New" w:hAnsi="Courier New" w:cs="Courier New"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FE30D1B"/>
    <w:multiLevelType w:val="hybridMultilevel"/>
    <w:tmpl w:val="114265A2"/>
    <w:lvl w:ilvl="0" w:tplc="04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360" w:hanging="360"/>
      </w:pPr>
      <w:rPr>
        <w:rFonts w:ascii="Courier New" w:hAnsi="Courier New" w:cs="Courier New" w:hint="default"/>
      </w:rPr>
    </w:lvl>
    <w:lvl w:ilvl="2" w:tplc="0C090005" w:tentative="1">
      <w:start w:val="1"/>
      <w:numFmt w:val="bullet"/>
      <w:lvlText w:val=""/>
      <w:lvlJc w:val="left"/>
      <w:pPr>
        <w:ind w:left="1080" w:hanging="360"/>
      </w:pPr>
      <w:rPr>
        <w:rFonts w:ascii="Wingdings" w:hAnsi="Wingdings" w:hint="default"/>
      </w:rPr>
    </w:lvl>
    <w:lvl w:ilvl="3" w:tplc="0C090001" w:tentative="1">
      <w:start w:val="1"/>
      <w:numFmt w:val="bullet"/>
      <w:lvlText w:val=""/>
      <w:lvlJc w:val="left"/>
      <w:pPr>
        <w:ind w:left="1800" w:hanging="360"/>
      </w:pPr>
      <w:rPr>
        <w:rFonts w:ascii="Symbol" w:hAnsi="Symbol"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num w:numId="1">
    <w:abstractNumId w:val="6"/>
  </w:num>
  <w:num w:numId="2">
    <w:abstractNumId w:val="11"/>
  </w:num>
  <w:num w:numId="3">
    <w:abstractNumId w:val="2"/>
  </w:num>
  <w:num w:numId="4">
    <w:abstractNumId w:val="14"/>
  </w:num>
  <w:num w:numId="5">
    <w:abstractNumId w:val="17"/>
  </w:num>
  <w:num w:numId="6">
    <w:abstractNumId w:val="3"/>
  </w:num>
  <w:num w:numId="7">
    <w:abstractNumId w:val="8"/>
  </w:num>
  <w:num w:numId="8">
    <w:abstractNumId w:val="13"/>
  </w:num>
  <w:num w:numId="9">
    <w:abstractNumId w:val="10"/>
  </w:num>
  <w:num w:numId="10">
    <w:abstractNumId w:val="15"/>
  </w:num>
  <w:num w:numId="11">
    <w:abstractNumId w:val="9"/>
  </w:num>
  <w:num w:numId="12">
    <w:abstractNumId w:val="7"/>
  </w:num>
  <w:num w:numId="13">
    <w:abstractNumId w:val="16"/>
  </w:num>
  <w:num w:numId="14">
    <w:abstractNumId w:val="4"/>
  </w:num>
  <w:num w:numId="15">
    <w:abstractNumId w:val="1"/>
  </w:num>
  <w:num w:numId="16">
    <w:abstractNumId w:val="5"/>
  </w:num>
  <w:num w:numId="17">
    <w:abstractNumId w:val="18"/>
  </w:num>
  <w:num w:numId="18">
    <w:abstractNumId w:val="0"/>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s>
  <w:rsids>
    <w:rsidRoot w:val="002849A4"/>
    <w:rsid w:val="0005559D"/>
    <w:rsid w:val="00063470"/>
    <w:rsid w:val="000669FF"/>
    <w:rsid w:val="00077091"/>
    <w:rsid w:val="00082AC5"/>
    <w:rsid w:val="000A276F"/>
    <w:rsid w:val="000E3940"/>
    <w:rsid w:val="000F30B2"/>
    <w:rsid w:val="001114AB"/>
    <w:rsid w:val="0012199D"/>
    <w:rsid w:val="00124702"/>
    <w:rsid w:val="00131AA5"/>
    <w:rsid w:val="0014559C"/>
    <w:rsid w:val="0018321F"/>
    <w:rsid w:val="001B6233"/>
    <w:rsid w:val="001C4F9B"/>
    <w:rsid w:val="00200F8A"/>
    <w:rsid w:val="00227D6A"/>
    <w:rsid w:val="00244BFD"/>
    <w:rsid w:val="00264C85"/>
    <w:rsid w:val="00277524"/>
    <w:rsid w:val="00282FE0"/>
    <w:rsid w:val="002849A4"/>
    <w:rsid w:val="00290E4C"/>
    <w:rsid w:val="002A2D72"/>
    <w:rsid w:val="002B7DCA"/>
    <w:rsid w:val="002D4CA0"/>
    <w:rsid w:val="002E1A02"/>
    <w:rsid w:val="00361585"/>
    <w:rsid w:val="00372B20"/>
    <w:rsid w:val="00373D1A"/>
    <w:rsid w:val="003822A3"/>
    <w:rsid w:val="003C709E"/>
    <w:rsid w:val="003E6305"/>
    <w:rsid w:val="003F0DB0"/>
    <w:rsid w:val="003F4265"/>
    <w:rsid w:val="00420C89"/>
    <w:rsid w:val="00440A75"/>
    <w:rsid w:val="00442999"/>
    <w:rsid w:val="00460C30"/>
    <w:rsid w:val="004B597D"/>
    <w:rsid w:val="00544C39"/>
    <w:rsid w:val="00593FE5"/>
    <w:rsid w:val="005B55D2"/>
    <w:rsid w:val="005C3655"/>
    <w:rsid w:val="005C663E"/>
    <w:rsid w:val="005E0618"/>
    <w:rsid w:val="00645FCC"/>
    <w:rsid w:val="00674D4F"/>
    <w:rsid w:val="00681BD4"/>
    <w:rsid w:val="00687F49"/>
    <w:rsid w:val="006B17FD"/>
    <w:rsid w:val="006E3319"/>
    <w:rsid w:val="00701CDB"/>
    <w:rsid w:val="00723BA5"/>
    <w:rsid w:val="00727A73"/>
    <w:rsid w:val="00760297"/>
    <w:rsid w:val="00774496"/>
    <w:rsid w:val="00791806"/>
    <w:rsid w:val="007C5650"/>
    <w:rsid w:val="007E53E1"/>
    <w:rsid w:val="00806FDE"/>
    <w:rsid w:val="00827BC9"/>
    <w:rsid w:val="00855522"/>
    <w:rsid w:val="008562EA"/>
    <w:rsid w:val="00856FEC"/>
    <w:rsid w:val="008576B1"/>
    <w:rsid w:val="00870E9A"/>
    <w:rsid w:val="00873E4A"/>
    <w:rsid w:val="00877855"/>
    <w:rsid w:val="008E4136"/>
    <w:rsid w:val="008E6600"/>
    <w:rsid w:val="00923A3E"/>
    <w:rsid w:val="00923B5F"/>
    <w:rsid w:val="00954FFB"/>
    <w:rsid w:val="009C0020"/>
    <w:rsid w:val="009D2982"/>
    <w:rsid w:val="009D5CA2"/>
    <w:rsid w:val="009F2696"/>
    <w:rsid w:val="00A40E75"/>
    <w:rsid w:val="00A515CB"/>
    <w:rsid w:val="00A559B1"/>
    <w:rsid w:val="00AA6C60"/>
    <w:rsid w:val="00AD7808"/>
    <w:rsid w:val="00B40AE0"/>
    <w:rsid w:val="00B4152F"/>
    <w:rsid w:val="00B50C96"/>
    <w:rsid w:val="00B51F35"/>
    <w:rsid w:val="00B625C8"/>
    <w:rsid w:val="00BE480A"/>
    <w:rsid w:val="00C215A6"/>
    <w:rsid w:val="00C53E6D"/>
    <w:rsid w:val="00C676FC"/>
    <w:rsid w:val="00CC6A9A"/>
    <w:rsid w:val="00CD5A28"/>
    <w:rsid w:val="00CE003D"/>
    <w:rsid w:val="00CF591E"/>
    <w:rsid w:val="00D0247A"/>
    <w:rsid w:val="00D10A12"/>
    <w:rsid w:val="00D87FE5"/>
    <w:rsid w:val="00D93697"/>
    <w:rsid w:val="00DC6FFD"/>
    <w:rsid w:val="00E05607"/>
    <w:rsid w:val="00E23F34"/>
    <w:rsid w:val="00E36670"/>
    <w:rsid w:val="00E84213"/>
    <w:rsid w:val="00E9151A"/>
    <w:rsid w:val="00E95F29"/>
    <w:rsid w:val="00EA45EF"/>
    <w:rsid w:val="00EC272B"/>
    <w:rsid w:val="00F172DE"/>
    <w:rsid w:val="00F26A21"/>
    <w:rsid w:val="00F72A87"/>
    <w:rsid w:val="00FC7029"/>
    <w:rsid w:val="00FD6C37"/>
    <w:rsid w:val="00FE7546"/>
    <w:rsid w:val="00FF25CF"/>
  </w:rsids>
  <m:mathPr>
    <m:mathFont m:val="Cambria Math"/>
    <m:brkBin m:val="before"/>
    <m:brkBinSub m:val="--"/>
    <m:smallFrac m:val="0"/>
    <m:dispDef/>
    <m:lMargin m:val="0"/>
    <m:rMargin m:val="0"/>
    <m:defJc m:val="centerGroup"/>
    <m:wrapIndent m:val="1440"/>
    <m:intLim m:val="subSup"/>
    <m:naryLim m:val="undOvr"/>
  </m:mathPr>
  <w:themeFontLang w:val="en-A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7724D2"/>
  <w15:docId w15:val="{C930CA12-DEE4-4570-AAE6-F795AC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49A4"/>
    <w:pPr>
      <w:spacing w:after="0" w:line="360" w:lineRule="auto"/>
      <w:jc w:val="both"/>
    </w:pPr>
    <w:rPr>
      <w:rFonts w:ascii="Times New Roman" w:hAnsi="Times New Roman"/>
      <w:sz w:val="24"/>
      <w:lang w:val="en-US"/>
    </w:rPr>
  </w:style>
  <w:style w:type="paragraph" w:styleId="Heading1">
    <w:name w:val="heading 1"/>
    <w:basedOn w:val="Normal"/>
    <w:next w:val="Normal"/>
    <w:link w:val="Heading1Char"/>
    <w:uiPriority w:val="9"/>
    <w:qFormat/>
    <w:rsid w:val="002849A4"/>
    <w:pPr>
      <w:keepNext/>
      <w:keepLines/>
      <w:spacing w:after="360"/>
      <w:jc w:val="center"/>
      <w:outlineLvl w:val="0"/>
    </w:pPr>
    <w:rPr>
      <w:rFonts w:eastAsiaTheme="majorEastAsia" w:cstheme="majorBidi"/>
      <w:b/>
      <w:bCs/>
      <w:caps/>
      <w:sz w:val="36"/>
      <w:szCs w:val="28"/>
    </w:rPr>
  </w:style>
  <w:style w:type="paragraph" w:styleId="Heading2">
    <w:name w:val="heading 2"/>
    <w:basedOn w:val="Normal"/>
    <w:next w:val="Normal"/>
    <w:link w:val="Heading2Char"/>
    <w:uiPriority w:val="9"/>
    <w:unhideWhenUsed/>
    <w:qFormat/>
    <w:rsid w:val="002849A4"/>
    <w:pPr>
      <w:keepNext/>
      <w:keepLines/>
      <w:spacing w:after="320"/>
      <w:jc w:val="center"/>
      <w:outlineLvl w:val="1"/>
    </w:pPr>
    <w:rPr>
      <w:rFonts w:eastAsiaTheme="majorEastAsia" w:cstheme="majorBidi"/>
      <w:b/>
      <w:bCs/>
      <w:sz w:val="32"/>
      <w:szCs w:val="26"/>
    </w:rPr>
  </w:style>
  <w:style w:type="paragraph" w:styleId="Heading3">
    <w:name w:val="heading 3"/>
    <w:basedOn w:val="Normal"/>
    <w:next w:val="Normal"/>
    <w:link w:val="Heading3Char"/>
    <w:uiPriority w:val="9"/>
    <w:unhideWhenUsed/>
    <w:qFormat/>
    <w:rsid w:val="002849A4"/>
    <w:pPr>
      <w:keepNext/>
      <w:keepLines/>
      <w:spacing w:before="320"/>
      <w:outlineLvl w:val="2"/>
    </w:pPr>
    <w:rPr>
      <w:rFonts w:eastAsiaTheme="majorEastAsia" w:cstheme="majorBidi"/>
      <w:b/>
      <w:bCs/>
      <w:caps/>
    </w:rPr>
  </w:style>
  <w:style w:type="paragraph" w:styleId="Heading4">
    <w:name w:val="heading 4"/>
    <w:basedOn w:val="Normal"/>
    <w:next w:val="Normal"/>
    <w:link w:val="Heading4Char"/>
    <w:uiPriority w:val="9"/>
    <w:unhideWhenUsed/>
    <w:qFormat/>
    <w:rsid w:val="002849A4"/>
    <w:pPr>
      <w:keepNext/>
      <w:keepLines/>
      <w:spacing w:before="240"/>
      <w:outlineLvl w:val="3"/>
    </w:pPr>
    <w:rPr>
      <w:rFonts w:eastAsiaTheme="majorEastAsia" w:cstheme="majorBidi"/>
      <w:b/>
      <w:bCs/>
      <w:iCs/>
    </w:rPr>
  </w:style>
  <w:style w:type="paragraph" w:styleId="Heading5">
    <w:name w:val="heading 5"/>
    <w:basedOn w:val="Normal"/>
    <w:next w:val="Normal"/>
    <w:link w:val="Heading5Char"/>
    <w:uiPriority w:val="9"/>
    <w:semiHidden/>
    <w:unhideWhenUsed/>
    <w:qFormat/>
    <w:rsid w:val="002849A4"/>
    <w:pPr>
      <w:keepNext/>
      <w:keepLines/>
      <w:spacing w:before="240"/>
      <w:outlineLvl w:val="4"/>
    </w:pPr>
    <w:rPr>
      <w:rFonts w:eastAsiaTheme="majorEastAsia" w:cstheme="majorBidi"/>
      <w:i/>
    </w:rPr>
  </w:style>
  <w:style w:type="paragraph" w:styleId="Heading6">
    <w:name w:val="heading 6"/>
    <w:basedOn w:val="Normal"/>
    <w:next w:val="Normal"/>
    <w:link w:val="Heading6Char"/>
    <w:uiPriority w:val="9"/>
    <w:semiHidden/>
    <w:unhideWhenUsed/>
    <w:qFormat/>
    <w:rsid w:val="002849A4"/>
    <w:pPr>
      <w:keepNext/>
      <w:keepLines/>
      <w:spacing w:before="240"/>
      <w:outlineLvl w:val="5"/>
    </w:pPr>
    <w:rPr>
      <w:rFonts w:eastAsiaTheme="majorEastAsia" w:cstheme="majorBid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849A4"/>
    <w:rPr>
      <w:rFonts w:ascii="Times New Roman" w:eastAsiaTheme="majorEastAsia" w:hAnsi="Times New Roman" w:cstheme="majorBidi"/>
      <w:b/>
      <w:bCs/>
      <w:caps/>
      <w:sz w:val="36"/>
      <w:szCs w:val="28"/>
      <w:lang w:val="en-US"/>
    </w:rPr>
  </w:style>
  <w:style w:type="character" w:customStyle="1" w:styleId="Heading2Char">
    <w:name w:val="Heading 2 Char"/>
    <w:basedOn w:val="DefaultParagraphFont"/>
    <w:link w:val="Heading2"/>
    <w:uiPriority w:val="9"/>
    <w:rsid w:val="002849A4"/>
    <w:rPr>
      <w:rFonts w:ascii="Times New Roman" w:eastAsiaTheme="majorEastAsia" w:hAnsi="Times New Roman" w:cstheme="majorBidi"/>
      <w:b/>
      <w:bCs/>
      <w:sz w:val="32"/>
      <w:szCs w:val="26"/>
      <w:lang w:val="en-US"/>
    </w:rPr>
  </w:style>
  <w:style w:type="character" w:customStyle="1" w:styleId="Heading3Char">
    <w:name w:val="Heading 3 Char"/>
    <w:basedOn w:val="DefaultParagraphFont"/>
    <w:link w:val="Heading3"/>
    <w:uiPriority w:val="9"/>
    <w:rsid w:val="002849A4"/>
    <w:rPr>
      <w:rFonts w:ascii="Times New Roman" w:eastAsiaTheme="majorEastAsia" w:hAnsi="Times New Roman" w:cstheme="majorBidi"/>
      <w:b/>
      <w:bCs/>
      <w:caps/>
      <w:sz w:val="24"/>
      <w:lang w:val="en-US"/>
    </w:rPr>
  </w:style>
  <w:style w:type="character" w:customStyle="1" w:styleId="Heading4Char">
    <w:name w:val="Heading 4 Char"/>
    <w:basedOn w:val="DefaultParagraphFont"/>
    <w:link w:val="Heading4"/>
    <w:uiPriority w:val="9"/>
    <w:rsid w:val="002849A4"/>
    <w:rPr>
      <w:rFonts w:ascii="Times New Roman" w:eastAsiaTheme="majorEastAsia" w:hAnsi="Times New Roman" w:cstheme="majorBidi"/>
      <w:b/>
      <w:bCs/>
      <w:iCs/>
      <w:sz w:val="24"/>
      <w:lang w:val="en-US"/>
    </w:rPr>
  </w:style>
  <w:style w:type="character" w:customStyle="1" w:styleId="Heading5Char">
    <w:name w:val="Heading 5 Char"/>
    <w:basedOn w:val="DefaultParagraphFont"/>
    <w:link w:val="Heading5"/>
    <w:uiPriority w:val="9"/>
    <w:semiHidden/>
    <w:rsid w:val="002849A4"/>
    <w:rPr>
      <w:rFonts w:ascii="Times New Roman" w:eastAsiaTheme="majorEastAsia" w:hAnsi="Times New Roman" w:cstheme="majorBidi"/>
      <w:i/>
      <w:sz w:val="24"/>
      <w:lang w:val="en-US"/>
    </w:rPr>
  </w:style>
  <w:style w:type="character" w:customStyle="1" w:styleId="Heading6Char">
    <w:name w:val="Heading 6 Char"/>
    <w:basedOn w:val="DefaultParagraphFont"/>
    <w:link w:val="Heading6"/>
    <w:uiPriority w:val="9"/>
    <w:semiHidden/>
    <w:rsid w:val="002849A4"/>
    <w:rPr>
      <w:rFonts w:ascii="Times New Roman" w:eastAsiaTheme="majorEastAsia" w:hAnsi="Times New Roman" w:cstheme="majorBidi"/>
      <w:iCs/>
      <w:sz w:val="24"/>
      <w:lang w:val="en-US"/>
    </w:rPr>
  </w:style>
  <w:style w:type="paragraph" w:styleId="Title">
    <w:name w:val="Title"/>
    <w:basedOn w:val="Normal"/>
    <w:next w:val="Normal"/>
    <w:link w:val="TitleChar"/>
    <w:uiPriority w:val="10"/>
    <w:qFormat/>
    <w:rsid w:val="002849A4"/>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rPr>
  </w:style>
  <w:style w:type="character" w:customStyle="1" w:styleId="TitleChar">
    <w:name w:val="Title Char"/>
    <w:basedOn w:val="DefaultParagraphFont"/>
    <w:link w:val="Title"/>
    <w:uiPriority w:val="10"/>
    <w:rsid w:val="002849A4"/>
    <w:rPr>
      <w:rFonts w:asciiTheme="majorHAnsi" w:eastAsiaTheme="majorEastAsia" w:hAnsiTheme="majorHAnsi" w:cstheme="majorBidi"/>
      <w:color w:val="323E4F" w:themeColor="text2" w:themeShade="BF"/>
      <w:spacing w:val="5"/>
      <w:kern w:val="28"/>
      <w:sz w:val="52"/>
      <w:szCs w:val="52"/>
      <w:lang w:val="en-US"/>
    </w:rPr>
  </w:style>
  <w:style w:type="paragraph" w:styleId="ListParagraph">
    <w:name w:val="List Paragraph"/>
    <w:basedOn w:val="Normal"/>
    <w:uiPriority w:val="34"/>
    <w:qFormat/>
    <w:rsid w:val="002849A4"/>
    <w:pPr>
      <w:ind w:left="720"/>
      <w:contextualSpacing/>
    </w:pPr>
  </w:style>
  <w:style w:type="paragraph" w:styleId="Quote">
    <w:name w:val="Quote"/>
    <w:basedOn w:val="Normal"/>
    <w:next w:val="Normal"/>
    <w:link w:val="QuoteChar"/>
    <w:uiPriority w:val="29"/>
    <w:qFormat/>
    <w:rsid w:val="002849A4"/>
    <w:pPr>
      <w:ind w:left="567" w:right="567"/>
    </w:pPr>
    <w:rPr>
      <w:iCs/>
      <w:color w:val="000000" w:themeColor="text1"/>
      <w:sz w:val="22"/>
    </w:rPr>
  </w:style>
  <w:style w:type="character" w:customStyle="1" w:styleId="QuoteChar">
    <w:name w:val="Quote Char"/>
    <w:basedOn w:val="DefaultParagraphFont"/>
    <w:link w:val="Quote"/>
    <w:uiPriority w:val="29"/>
    <w:rsid w:val="002849A4"/>
    <w:rPr>
      <w:rFonts w:ascii="Times New Roman" w:hAnsi="Times New Roman"/>
      <w:iCs/>
      <w:color w:val="000000" w:themeColor="text1"/>
      <w:lang w:val="en-US"/>
    </w:rPr>
  </w:style>
  <w:style w:type="character" w:styleId="CommentReference">
    <w:name w:val="annotation reference"/>
    <w:basedOn w:val="DefaultParagraphFont"/>
    <w:uiPriority w:val="99"/>
    <w:semiHidden/>
    <w:unhideWhenUsed/>
    <w:rsid w:val="002849A4"/>
    <w:rPr>
      <w:sz w:val="16"/>
      <w:szCs w:val="16"/>
    </w:rPr>
  </w:style>
  <w:style w:type="paragraph" w:styleId="CommentText">
    <w:name w:val="annotation text"/>
    <w:basedOn w:val="Normal"/>
    <w:link w:val="CommentTextChar"/>
    <w:uiPriority w:val="99"/>
    <w:unhideWhenUsed/>
    <w:rsid w:val="002849A4"/>
    <w:pPr>
      <w:spacing w:line="240" w:lineRule="auto"/>
    </w:pPr>
    <w:rPr>
      <w:sz w:val="20"/>
      <w:szCs w:val="20"/>
    </w:rPr>
  </w:style>
  <w:style w:type="character" w:customStyle="1" w:styleId="CommentTextChar">
    <w:name w:val="Comment Text Char"/>
    <w:basedOn w:val="DefaultParagraphFont"/>
    <w:link w:val="CommentText"/>
    <w:uiPriority w:val="99"/>
    <w:rsid w:val="002849A4"/>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2849A4"/>
    <w:rPr>
      <w:b/>
      <w:bCs/>
    </w:rPr>
  </w:style>
  <w:style w:type="character" w:customStyle="1" w:styleId="CommentSubjectChar">
    <w:name w:val="Comment Subject Char"/>
    <w:basedOn w:val="CommentTextChar"/>
    <w:link w:val="CommentSubject"/>
    <w:uiPriority w:val="99"/>
    <w:semiHidden/>
    <w:rsid w:val="002849A4"/>
    <w:rPr>
      <w:rFonts w:ascii="Times New Roman" w:hAnsi="Times New Roman"/>
      <w:b/>
      <w:bCs/>
      <w:sz w:val="20"/>
      <w:szCs w:val="20"/>
      <w:lang w:val="en-US"/>
    </w:rPr>
  </w:style>
  <w:style w:type="paragraph" w:styleId="BalloonText">
    <w:name w:val="Balloon Text"/>
    <w:basedOn w:val="Normal"/>
    <w:link w:val="BalloonTextChar"/>
    <w:uiPriority w:val="99"/>
    <w:semiHidden/>
    <w:unhideWhenUsed/>
    <w:rsid w:val="002849A4"/>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49A4"/>
    <w:rPr>
      <w:rFonts w:ascii="Tahoma" w:hAnsi="Tahoma" w:cs="Tahoma"/>
      <w:sz w:val="16"/>
      <w:szCs w:val="16"/>
      <w:lang w:val="en-US"/>
    </w:rPr>
  </w:style>
  <w:style w:type="paragraph" w:styleId="FootnoteText">
    <w:name w:val="footnote text"/>
    <w:basedOn w:val="Normal"/>
    <w:link w:val="FootnoteTextChar"/>
    <w:uiPriority w:val="99"/>
    <w:unhideWhenUsed/>
    <w:rsid w:val="002849A4"/>
    <w:pPr>
      <w:spacing w:line="240" w:lineRule="auto"/>
    </w:pPr>
    <w:rPr>
      <w:sz w:val="20"/>
      <w:szCs w:val="20"/>
    </w:rPr>
  </w:style>
  <w:style w:type="character" w:customStyle="1" w:styleId="FootnoteTextChar">
    <w:name w:val="Footnote Text Char"/>
    <w:basedOn w:val="DefaultParagraphFont"/>
    <w:link w:val="FootnoteText"/>
    <w:uiPriority w:val="99"/>
    <w:rsid w:val="002849A4"/>
    <w:rPr>
      <w:rFonts w:ascii="Times New Roman" w:hAnsi="Times New Roman"/>
      <w:sz w:val="20"/>
      <w:szCs w:val="20"/>
      <w:lang w:val="en-US"/>
    </w:rPr>
  </w:style>
  <w:style w:type="character" w:styleId="FootnoteReference">
    <w:name w:val="footnote reference"/>
    <w:basedOn w:val="DefaultParagraphFont"/>
    <w:uiPriority w:val="99"/>
    <w:semiHidden/>
    <w:unhideWhenUsed/>
    <w:rsid w:val="002849A4"/>
    <w:rPr>
      <w:vertAlign w:val="superscript"/>
    </w:rPr>
  </w:style>
  <w:style w:type="paragraph" w:customStyle="1" w:styleId="Compact">
    <w:name w:val="Compact"/>
    <w:basedOn w:val="BodyText"/>
    <w:qFormat/>
    <w:rsid w:val="002849A4"/>
    <w:pPr>
      <w:spacing w:before="36" w:after="36" w:line="240" w:lineRule="auto"/>
      <w:jc w:val="left"/>
    </w:pPr>
    <w:rPr>
      <w:rFonts w:asciiTheme="minorHAnsi" w:hAnsiTheme="minorHAnsi"/>
      <w:szCs w:val="24"/>
    </w:rPr>
  </w:style>
  <w:style w:type="paragraph" w:styleId="BodyText">
    <w:name w:val="Body Text"/>
    <w:basedOn w:val="Normal"/>
    <w:link w:val="BodyTextChar"/>
    <w:uiPriority w:val="99"/>
    <w:semiHidden/>
    <w:unhideWhenUsed/>
    <w:rsid w:val="002849A4"/>
    <w:pPr>
      <w:spacing w:after="120"/>
    </w:pPr>
  </w:style>
  <w:style w:type="character" w:customStyle="1" w:styleId="BodyTextChar">
    <w:name w:val="Body Text Char"/>
    <w:basedOn w:val="DefaultParagraphFont"/>
    <w:link w:val="BodyText"/>
    <w:uiPriority w:val="99"/>
    <w:semiHidden/>
    <w:rsid w:val="002849A4"/>
    <w:rPr>
      <w:rFonts w:ascii="Times New Roman" w:hAnsi="Times New Roman"/>
      <w:sz w:val="24"/>
      <w:lang w:val="en-US"/>
    </w:rPr>
  </w:style>
  <w:style w:type="table" w:styleId="TableGrid">
    <w:name w:val="Table Grid"/>
    <w:basedOn w:val="TableNormal"/>
    <w:uiPriority w:val="59"/>
    <w:rsid w:val="002849A4"/>
    <w:pPr>
      <w:spacing w:after="0" w:line="240" w:lineRule="auto"/>
    </w:pPr>
    <w:rPr>
      <w:rFonts w:eastAsiaTheme="minorEastAsia"/>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2849A4"/>
    <w:pPr>
      <w:jc w:val="center"/>
    </w:pPr>
    <w:rPr>
      <w:rFonts w:cs="Times New Roman"/>
      <w:noProof/>
    </w:rPr>
  </w:style>
  <w:style w:type="character" w:customStyle="1" w:styleId="EndNoteBibliographyTitleChar">
    <w:name w:val="EndNote Bibliography Title Char"/>
    <w:basedOn w:val="DefaultParagraphFont"/>
    <w:link w:val="EndNoteBibliographyTitle"/>
    <w:rsid w:val="002849A4"/>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2849A4"/>
    <w:pPr>
      <w:spacing w:line="240" w:lineRule="auto"/>
    </w:pPr>
    <w:rPr>
      <w:rFonts w:cs="Times New Roman"/>
      <w:noProof/>
    </w:rPr>
  </w:style>
  <w:style w:type="character" w:customStyle="1" w:styleId="EndNoteBibliographyChar">
    <w:name w:val="EndNote Bibliography Char"/>
    <w:basedOn w:val="DefaultParagraphFont"/>
    <w:link w:val="EndNoteBibliography"/>
    <w:rsid w:val="002849A4"/>
    <w:rPr>
      <w:rFonts w:ascii="Times New Roman" w:hAnsi="Times New Roman" w:cs="Times New Roman"/>
      <w:noProof/>
      <w:sz w:val="24"/>
      <w:lang w:val="en-US"/>
    </w:rPr>
  </w:style>
  <w:style w:type="character" w:styleId="Hyperlink">
    <w:name w:val="Hyperlink"/>
    <w:basedOn w:val="DefaultParagraphFont"/>
    <w:uiPriority w:val="99"/>
    <w:unhideWhenUsed/>
    <w:rsid w:val="002849A4"/>
    <w:rPr>
      <w:color w:val="0563C1" w:themeColor="hyperlink"/>
      <w:u w:val="single"/>
    </w:rPr>
  </w:style>
  <w:style w:type="paragraph" w:styleId="Revision">
    <w:name w:val="Revision"/>
    <w:hidden/>
    <w:uiPriority w:val="99"/>
    <w:semiHidden/>
    <w:rsid w:val="002849A4"/>
    <w:pPr>
      <w:spacing w:after="0" w:line="240" w:lineRule="auto"/>
    </w:pPr>
    <w:rPr>
      <w:rFonts w:ascii="Times New Roman" w:hAnsi="Times New Roman"/>
      <w:sz w:val="24"/>
      <w:lang w:val="en-US"/>
    </w:rPr>
  </w:style>
  <w:style w:type="paragraph" w:styleId="EndnoteText">
    <w:name w:val="endnote text"/>
    <w:basedOn w:val="Normal"/>
    <w:link w:val="EndnoteTextChar"/>
    <w:uiPriority w:val="99"/>
    <w:semiHidden/>
    <w:unhideWhenUsed/>
    <w:rsid w:val="002849A4"/>
    <w:pPr>
      <w:spacing w:line="240" w:lineRule="auto"/>
      <w:jc w:val="left"/>
    </w:pPr>
    <w:rPr>
      <w:rFonts w:asciiTheme="minorHAnsi" w:hAnsiTheme="minorHAnsi"/>
      <w:sz w:val="20"/>
      <w:szCs w:val="20"/>
      <w:lang w:val="en-AU"/>
    </w:rPr>
  </w:style>
  <w:style w:type="character" w:customStyle="1" w:styleId="EndnoteTextChar">
    <w:name w:val="Endnote Text Char"/>
    <w:basedOn w:val="DefaultParagraphFont"/>
    <w:link w:val="EndnoteText"/>
    <w:uiPriority w:val="99"/>
    <w:semiHidden/>
    <w:rsid w:val="002849A4"/>
    <w:rPr>
      <w:sz w:val="20"/>
      <w:szCs w:val="20"/>
    </w:rPr>
  </w:style>
  <w:style w:type="character" w:customStyle="1" w:styleId="UnresolvedMention1">
    <w:name w:val="Unresolved Mention1"/>
    <w:basedOn w:val="DefaultParagraphFont"/>
    <w:uiPriority w:val="99"/>
    <w:semiHidden/>
    <w:unhideWhenUsed/>
    <w:rsid w:val="002849A4"/>
    <w:rPr>
      <w:color w:val="605E5C"/>
      <w:shd w:val="clear" w:color="auto" w:fill="E1DFDD"/>
    </w:rPr>
  </w:style>
  <w:style w:type="paragraph" w:styleId="NormalWeb">
    <w:name w:val="Normal (Web)"/>
    <w:basedOn w:val="Normal"/>
    <w:uiPriority w:val="99"/>
    <w:semiHidden/>
    <w:unhideWhenUsed/>
    <w:rsid w:val="002849A4"/>
    <w:pPr>
      <w:spacing w:before="100" w:beforeAutospacing="1" w:after="100" w:afterAutospacing="1" w:line="240" w:lineRule="auto"/>
      <w:jc w:val="left"/>
    </w:pPr>
    <w:rPr>
      <w:rFonts w:eastAsia="Times New Roman" w:cs="Times New Roman"/>
      <w:szCs w:val="24"/>
      <w:lang w:val="en-AU" w:eastAsia="en-AU"/>
    </w:rPr>
  </w:style>
  <w:style w:type="character" w:customStyle="1" w:styleId="UnresolvedMention2">
    <w:name w:val="Unresolved Mention2"/>
    <w:basedOn w:val="DefaultParagraphFont"/>
    <w:uiPriority w:val="99"/>
    <w:semiHidden/>
    <w:unhideWhenUsed/>
    <w:rsid w:val="002849A4"/>
    <w:rPr>
      <w:color w:val="605E5C"/>
      <w:shd w:val="clear" w:color="auto" w:fill="E1DFDD"/>
    </w:rPr>
  </w:style>
  <w:style w:type="paragraph" w:styleId="Footer">
    <w:name w:val="footer"/>
    <w:basedOn w:val="Normal"/>
    <w:link w:val="FooterChar"/>
    <w:uiPriority w:val="99"/>
    <w:unhideWhenUsed/>
    <w:rsid w:val="002849A4"/>
    <w:pPr>
      <w:tabs>
        <w:tab w:val="center" w:pos="4680"/>
        <w:tab w:val="right" w:pos="9360"/>
      </w:tabs>
      <w:spacing w:line="240" w:lineRule="auto"/>
    </w:pPr>
  </w:style>
  <w:style w:type="character" w:customStyle="1" w:styleId="FooterChar">
    <w:name w:val="Footer Char"/>
    <w:basedOn w:val="DefaultParagraphFont"/>
    <w:link w:val="Footer"/>
    <w:uiPriority w:val="99"/>
    <w:rsid w:val="002849A4"/>
    <w:rPr>
      <w:rFonts w:ascii="Times New Roman" w:hAnsi="Times New Roman"/>
      <w:sz w:val="24"/>
      <w:lang w:val="en-US"/>
    </w:rPr>
  </w:style>
  <w:style w:type="character" w:styleId="PageNumber">
    <w:name w:val="page number"/>
    <w:basedOn w:val="DefaultParagraphFont"/>
    <w:uiPriority w:val="99"/>
    <w:semiHidden/>
    <w:unhideWhenUsed/>
    <w:rsid w:val="002849A4"/>
  </w:style>
  <w:style w:type="character" w:customStyle="1" w:styleId="b">
    <w:name w:val="b"/>
    <w:basedOn w:val="DefaultParagraphFont"/>
    <w:rsid w:val="002849A4"/>
  </w:style>
  <w:style w:type="character" w:styleId="FollowedHyperlink">
    <w:name w:val="FollowedHyperlink"/>
    <w:basedOn w:val="DefaultParagraphFont"/>
    <w:uiPriority w:val="99"/>
    <w:semiHidden/>
    <w:unhideWhenUsed/>
    <w:rsid w:val="002849A4"/>
    <w:rPr>
      <w:color w:val="954F72" w:themeColor="followedHyperlink"/>
      <w:u w:val="single"/>
    </w:rPr>
  </w:style>
  <w:style w:type="paragraph" w:styleId="Header">
    <w:name w:val="header"/>
    <w:basedOn w:val="Normal"/>
    <w:link w:val="HeaderChar"/>
    <w:uiPriority w:val="99"/>
    <w:unhideWhenUsed/>
    <w:rsid w:val="002849A4"/>
    <w:pPr>
      <w:tabs>
        <w:tab w:val="center" w:pos="4513"/>
        <w:tab w:val="right" w:pos="9026"/>
      </w:tabs>
      <w:spacing w:line="240" w:lineRule="auto"/>
    </w:pPr>
  </w:style>
  <w:style w:type="character" w:customStyle="1" w:styleId="HeaderChar">
    <w:name w:val="Header Char"/>
    <w:basedOn w:val="DefaultParagraphFont"/>
    <w:link w:val="Header"/>
    <w:uiPriority w:val="99"/>
    <w:rsid w:val="002849A4"/>
    <w:rPr>
      <w:rFonts w:ascii="Times New Roman" w:hAnsi="Times New Roman"/>
      <w:sz w:val="24"/>
      <w:lang w:val="en-US"/>
    </w:rPr>
  </w:style>
  <w:style w:type="character" w:customStyle="1" w:styleId="UnresolvedMention3">
    <w:name w:val="Unresolved Mention3"/>
    <w:basedOn w:val="DefaultParagraphFont"/>
    <w:uiPriority w:val="99"/>
    <w:semiHidden/>
    <w:unhideWhenUsed/>
    <w:rsid w:val="007C5650"/>
    <w:rPr>
      <w:color w:val="605E5C"/>
      <w:shd w:val="clear" w:color="auto" w:fill="E1DFDD"/>
    </w:rPr>
  </w:style>
  <w:style w:type="character" w:styleId="UnresolvedMention">
    <w:name w:val="Unresolved Mention"/>
    <w:basedOn w:val="DefaultParagraphFont"/>
    <w:uiPriority w:val="99"/>
    <w:semiHidden/>
    <w:unhideWhenUsed/>
    <w:rsid w:val="00E23F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4176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health.gov.au/ministers/the-hon-greg-hunt-mp/media/expanded-access-to-cutting-edge-car-t-cell-therapy" TargetMode="External"/><Relationship Id="rId13" Type="http://schemas.openxmlformats.org/officeDocument/2006/relationships/hyperlink" Target="https://www.abs.gov.au/ausstats/abs@.nsf/Lookup/by%20Subject/4364.0.55.002~2014-15~Main%20Features~Private%20health%20insurance~5"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aihw.gov.au/reports/cancer/cancer-in-australia-2019/contents/table-of-contents.%20Accessed%2023%20April%202020" TargetMode="External"/><Relationship Id="rId12" Type="http://schemas.openxmlformats.org/officeDocument/2006/relationships/hyperlink" Target="https://www1.health.gov.au/internet/main/publishing.nsf/Content/PBAC_online_submission_form"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pbs.gov.au/pbs/industry/listing/procedure-guidance/6-consideration-submissions/6-7-consumer-input"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www.fda.gov/media/102332/download" TargetMode="External"/><Relationship Id="rId4" Type="http://schemas.openxmlformats.org/officeDocument/2006/relationships/webSettings" Target="webSettings.xml"/><Relationship Id="rId9" Type="http://schemas.openxmlformats.org/officeDocument/2006/relationships/hyperlink" Target="https://www.pbs.gov.au/statistics/expenditure-prescriptions/2018-2019/PBS_Expenditure_and_Prescriptions_Report_1-July-2018_to_30-June-2019.pdf" TargetMode="Externa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21</Pages>
  <Words>5808</Words>
  <Characters>33110</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Narcyz Ghinea</dc:creator>
  <cp:keywords/>
  <dc:description/>
  <cp:lastModifiedBy>Narcyz Ghinea</cp:lastModifiedBy>
  <cp:revision>2</cp:revision>
  <cp:lastPrinted>2020-05-26T02:02:00Z</cp:lastPrinted>
  <dcterms:created xsi:type="dcterms:W3CDTF">2021-01-11T04:06:00Z</dcterms:created>
  <dcterms:modified xsi:type="dcterms:W3CDTF">2021-01-11T04:06:00Z</dcterms:modified>
</cp:coreProperties>
</file>