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92DF10" w14:textId="1F420F3E" w:rsidR="00E14101" w:rsidRPr="00846808" w:rsidRDefault="00846808" w:rsidP="00846808">
      <w:pPr>
        <w:spacing w:line="480" w:lineRule="auto"/>
        <w:jc w:val="center"/>
        <w:rPr>
          <w:b/>
          <w:smallCaps/>
        </w:rPr>
      </w:pPr>
      <w:r>
        <w:rPr>
          <w:b/>
          <w:smallCaps/>
        </w:rPr>
        <w:t>A</w:t>
      </w:r>
      <w:r w:rsidR="0064274A" w:rsidRPr="00846808">
        <w:rPr>
          <w:b/>
          <w:smallCaps/>
        </w:rPr>
        <w:t xml:space="preserve"> Tangled Crimson Thread: </w:t>
      </w:r>
      <w:r>
        <w:rPr>
          <w:b/>
          <w:smallCaps/>
        </w:rPr>
        <w:t xml:space="preserve">The Complexities of </w:t>
      </w:r>
      <w:r w:rsidR="0064274A" w:rsidRPr="00846808">
        <w:rPr>
          <w:b/>
          <w:smallCaps/>
        </w:rPr>
        <w:t>A</w:t>
      </w:r>
      <w:r w:rsidRPr="00846808">
        <w:rPr>
          <w:b/>
          <w:smallCaps/>
        </w:rPr>
        <w:t>ustralia’s Citizenship History</w:t>
      </w:r>
    </w:p>
    <w:p w14:paraId="0CDB53E5" w14:textId="77777777" w:rsidR="00E14101" w:rsidRDefault="00E14101" w:rsidP="0049067F">
      <w:pPr>
        <w:spacing w:line="480" w:lineRule="auto"/>
        <w:jc w:val="both"/>
      </w:pPr>
    </w:p>
    <w:p w14:paraId="38C56EFA" w14:textId="6CBA3631" w:rsidR="00846808" w:rsidRDefault="00E14101" w:rsidP="00846808">
      <w:pPr>
        <w:spacing w:line="480" w:lineRule="auto"/>
        <w:jc w:val="both"/>
      </w:pPr>
      <w:r>
        <w:t>The</w:t>
      </w:r>
      <w:r w:rsidR="0049067F" w:rsidRPr="002F5F1C">
        <w:t xml:space="preserve"> history</w:t>
      </w:r>
      <w:r>
        <w:t xml:space="preserve"> of who is an Australian</w:t>
      </w:r>
      <w:r w:rsidR="0049067F" w:rsidRPr="002F5F1C">
        <w:t xml:space="preserve">, at its heart, is a story of creating and controlling a white national identity. Such a narrative is not isolated to citizenship law but finds expression throughout the Australian political and legal system: in the emphasis on border control and the consequent </w:t>
      </w:r>
      <w:r>
        <w:t>migration regime</w:t>
      </w:r>
      <w:r w:rsidR="0049067F" w:rsidRPr="002F5F1C">
        <w:t>;</w:t>
      </w:r>
      <w:r w:rsidR="0049067F" w:rsidRPr="002F5F1C">
        <w:rPr>
          <w:rStyle w:val="FootnoteReference"/>
        </w:rPr>
        <w:footnoteReference w:id="1"/>
      </w:r>
      <w:r w:rsidR="0049067F" w:rsidRPr="002F5F1C">
        <w:t xml:space="preserve"> the attitudes towards non-white refugees;</w:t>
      </w:r>
      <w:r w:rsidR="0049067F" w:rsidRPr="002F5F1C">
        <w:rPr>
          <w:rStyle w:val="FootnoteReference"/>
        </w:rPr>
        <w:footnoteReference w:id="2"/>
      </w:r>
      <w:r w:rsidR="0049067F" w:rsidRPr="002F5F1C">
        <w:t xml:space="preserve"> and the treatment of Aboriginal and Torres Strait Islander peoples.</w:t>
      </w:r>
      <w:r w:rsidR="0049067F" w:rsidRPr="002F5F1C">
        <w:rPr>
          <w:rStyle w:val="FootnoteReference"/>
        </w:rPr>
        <w:footnoteReference w:id="3"/>
      </w:r>
      <w:r w:rsidR="0049067F" w:rsidRPr="002F5F1C">
        <w:t xml:space="preserve"> Australia’s citizenship law, although transplanted from the United Kingdom upon colonisation,</w:t>
      </w:r>
      <w:r w:rsidR="0049067F" w:rsidRPr="002F5F1C">
        <w:rPr>
          <w:rStyle w:val="FootnoteReference"/>
        </w:rPr>
        <w:footnoteReference w:id="4"/>
      </w:r>
      <w:r w:rsidR="0049067F" w:rsidRPr="002F5F1C">
        <w:t xml:space="preserve"> was very much shaped by this particular form of racism and nationalism. In particular, the </w:t>
      </w:r>
      <w:r w:rsidR="00846808">
        <w:t>inconsistency</w:t>
      </w:r>
      <w:r w:rsidR="0049067F" w:rsidRPr="002F5F1C">
        <w:t xml:space="preserve"> between</w:t>
      </w:r>
      <w:r w:rsidR="00846808">
        <w:t xml:space="preserve"> the</w:t>
      </w:r>
      <w:r w:rsidR="0049067F" w:rsidRPr="002F5F1C">
        <w:t xml:space="preserve"> formal </w:t>
      </w:r>
      <w:r w:rsidR="00846808">
        <w:t xml:space="preserve">grant of citizenship, and the understanding of Australian identity </w:t>
      </w:r>
      <w:r w:rsidR="0049067F" w:rsidRPr="002F5F1C">
        <w:t xml:space="preserve">takes root in Australia’s racialized notion of identity. </w:t>
      </w:r>
    </w:p>
    <w:p w14:paraId="6DCA6FCE" w14:textId="48467F28" w:rsidR="0049067F" w:rsidRDefault="0049067F" w:rsidP="00E422DB">
      <w:pPr>
        <w:spacing w:line="480" w:lineRule="auto"/>
        <w:ind w:firstLine="720"/>
        <w:jc w:val="both"/>
      </w:pPr>
      <w:r w:rsidRPr="002F5F1C">
        <w:t xml:space="preserve">Determination of </w:t>
      </w:r>
      <w:r w:rsidRPr="002F5F1C">
        <w:rPr>
          <w:i/>
          <w:iCs/>
        </w:rPr>
        <w:t>who</w:t>
      </w:r>
      <w:r w:rsidRPr="002F5F1C">
        <w:t xml:space="preserve"> is an Australian goes towards a substantive notion</w:t>
      </w:r>
      <w:r w:rsidR="00846808">
        <w:t xml:space="preserve"> of citizenship</w:t>
      </w:r>
      <w:r w:rsidRPr="002F5F1C">
        <w:t>, looking to a person’s attributes as a means of permitting inclusion.</w:t>
      </w:r>
      <w:r w:rsidRPr="002F5F1C">
        <w:rPr>
          <w:rStyle w:val="FootnoteReference"/>
        </w:rPr>
        <w:footnoteReference w:id="5"/>
      </w:r>
      <w:r w:rsidRPr="002F5F1C">
        <w:t xml:space="preserve"> On the other hand, the exclusion of persons unwanted in the community is made easier if membership is based on a formal, dichotomous classification of citizen and alien.</w:t>
      </w:r>
      <w:r w:rsidRPr="002F5F1C">
        <w:rPr>
          <w:rStyle w:val="FootnoteReference"/>
        </w:rPr>
        <w:footnoteReference w:id="6"/>
      </w:r>
      <w:r w:rsidRPr="002F5F1C">
        <w:t xml:space="preserve"> </w:t>
      </w:r>
      <w:r w:rsidR="00846808" w:rsidRPr="002F5F1C">
        <w:t xml:space="preserve">This </w:t>
      </w:r>
      <w:r w:rsidR="00846808">
        <w:t>essay</w:t>
      </w:r>
      <w:r w:rsidR="00846808" w:rsidRPr="002F5F1C">
        <w:t xml:space="preserve"> examines the interaction between formal and substantive notions of citizenship in the Australian legal system in three stages critical to the formation of Australian nationality law. These are first, the behaviour of </w:t>
      </w:r>
      <w:r w:rsidR="00846808" w:rsidRPr="002F5F1C">
        <w:lastRenderedPageBreak/>
        <w:t xml:space="preserve">the colonies; second, in the creation of the constitution; and third, in the move towards a formal conception of Australian citizenship. </w:t>
      </w:r>
      <w:r w:rsidRPr="002F5F1C">
        <w:t>The development of Australian citizenship law demonstrates the struggle between these notions</w:t>
      </w:r>
      <w:r w:rsidR="00846808">
        <w:t xml:space="preserve"> </w:t>
      </w:r>
      <w:r w:rsidRPr="002F5F1C">
        <w:t xml:space="preserve">as a consequence of the longstanding desire for an exclusive, white, national boundary. No clear theory </w:t>
      </w:r>
      <w:r w:rsidR="00E422DB">
        <w:t xml:space="preserve">of citizenship </w:t>
      </w:r>
      <w:r w:rsidRPr="002F5F1C">
        <w:t>was wanted, nor needed, given the preference for a social appraisal of citizenry:</w:t>
      </w:r>
      <w:r w:rsidRPr="002F5F1C">
        <w:rPr>
          <w:rStyle w:val="FootnoteReference"/>
        </w:rPr>
        <w:footnoteReference w:id="7"/>
      </w:r>
      <w:r w:rsidRPr="002F5F1C">
        <w:t xml:space="preserve"> ‘we know who we are’.</w:t>
      </w:r>
      <w:r w:rsidRPr="002F5F1C">
        <w:rPr>
          <w:rStyle w:val="FootnoteReference"/>
        </w:rPr>
        <w:footnoteReference w:id="8"/>
      </w:r>
    </w:p>
    <w:p w14:paraId="5388EA49" w14:textId="77777777" w:rsidR="00E422DB" w:rsidRPr="002F5F1C" w:rsidRDefault="00E422DB" w:rsidP="00E422DB">
      <w:pPr>
        <w:spacing w:line="480" w:lineRule="auto"/>
        <w:jc w:val="both"/>
      </w:pPr>
    </w:p>
    <w:p w14:paraId="0A302CA6" w14:textId="3BB9849B" w:rsidR="0049067F" w:rsidRPr="00846808" w:rsidRDefault="00846808" w:rsidP="0049067F">
      <w:pPr>
        <w:pStyle w:val="Heading2"/>
        <w:spacing w:line="480" w:lineRule="auto"/>
        <w:rPr>
          <w:smallCaps/>
        </w:rPr>
      </w:pPr>
      <w:bookmarkStart w:id="0" w:name="_Toc516208364"/>
      <w:r w:rsidRPr="00846808">
        <w:rPr>
          <w:smallCaps/>
        </w:rPr>
        <w:t>I</w:t>
      </w:r>
      <w:r w:rsidR="0049067F" w:rsidRPr="00846808">
        <w:rPr>
          <w:smallCaps/>
        </w:rPr>
        <w:t xml:space="preserve"> Colonisation</w:t>
      </w:r>
      <w:bookmarkEnd w:id="0"/>
    </w:p>
    <w:p w14:paraId="752D84B0" w14:textId="77777777" w:rsidR="0049067F" w:rsidRPr="002F5F1C" w:rsidRDefault="0049067F" w:rsidP="0049067F">
      <w:pPr>
        <w:spacing w:line="480" w:lineRule="auto"/>
        <w:jc w:val="both"/>
      </w:pPr>
      <w:r w:rsidRPr="002F5F1C">
        <w:t>As Peter Prince discusses in his dissertation on alienage,</w:t>
      </w:r>
      <w:r w:rsidRPr="002F5F1C">
        <w:rPr>
          <w:rStyle w:val="FootnoteReference"/>
        </w:rPr>
        <w:footnoteReference w:id="9"/>
      </w:r>
      <w:r w:rsidRPr="002F5F1C">
        <w:t xml:space="preserve"> at the time of colonisation, the formulation of citizenship – birthright nationality</w:t>
      </w:r>
      <w:r w:rsidRPr="002F5F1C">
        <w:rPr>
          <w:rStyle w:val="FootnoteReference"/>
        </w:rPr>
        <w:footnoteReference w:id="10"/>
      </w:r>
      <w:r w:rsidRPr="002F5F1C">
        <w:t xml:space="preserve"> – was ignored in the determination of membership of Australia.</w:t>
      </w:r>
      <w:r w:rsidRPr="002F5F1C">
        <w:rPr>
          <w:rStyle w:val="FootnoteReference"/>
        </w:rPr>
        <w:footnoteReference w:id="11"/>
      </w:r>
      <w:r w:rsidRPr="002F5F1C">
        <w:t xml:space="preserve"> For the colonies, the desire to exclude certain persons dominated the discourse surrounding </w:t>
      </w:r>
      <w:proofErr w:type="gramStart"/>
      <w:r w:rsidRPr="002F5F1C">
        <w:t>membership, and</w:t>
      </w:r>
      <w:proofErr w:type="gramEnd"/>
      <w:r w:rsidRPr="002F5F1C">
        <w:t xml:space="preserve"> resulted in the confused application of British law. This is most clear in legal treatment of Aboriginal and Torres Strait Islander peoples and non-Indigenous ethnic minorities. </w:t>
      </w:r>
    </w:p>
    <w:p w14:paraId="6E485077" w14:textId="5AB488A7" w:rsidR="0049067F" w:rsidRPr="002F5F1C" w:rsidRDefault="0049067F" w:rsidP="0049067F">
      <w:pPr>
        <w:spacing w:line="480" w:lineRule="auto"/>
        <w:ind w:firstLine="720"/>
        <w:jc w:val="both"/>
      </w:pPr>
      <w:r w:rsidRPr="002F5F1C">
        <w:t xml:space="preserve">Aboriginal and Torres Strait Islander peoples were, in practice, denied access to formal Australian membership despite the inheritance of law to the contrary. </w:t>
      </w:r>
      <w:r w:rsidR="00E422DB">
        <w:t>At law, c</w:t>
      </w:r>
      <w:r w:rsidR="00E422DB" w:rsidRPr="002F5F1C">
        <w:t>itizenship was a matter of birthright; those born in Britain or one of her dominions were one and the same, bound by a singular tie of allegiance to the British sovereign.</w:t>
      </w:r>
      <w:r w:rsidR="00E422DB" w:rsidRPr="002F5F1C">
        <w:rPr>
          <w:rStyle w:val="FootnoteReference"/>
        </w:rPr>
        <w:footnoteReference w:id="12"/>
      </w:r>
      <w:r w:rsidR="00E422DB" w:rsidRPr="002F5F1C">
        <w:t xml:space="preserve"> This was a firmly entrenched aspect of the British common law, dating from the 17</w:t>
      </w:r>
      <w:r w:rsidR="00E422DB" w:rsidRPr="002F5F1C">
        <w:rPr>
          <w:vertAlign w:val="superscript"/>
        </w:rPr>
        <w:t>th</w:t>
      </w:r>
      <w:r w:rsidR="00E422DB" w:rsidRPr="002F5F1C">
        <w:t xml:space="preserve"> Century decision in </w:t>
      </w:r>
      <w:r w:rsidR="00E422DB" w:rsidRPr="002F5F1C">
        <w:rPr>
          <w:i/>
          <w:iCs/>
        </w:rPr>
        <w:t>Calvin’s Case</w:t>
      </w:r>
      <w:r w:rsidR="00E422DB" w:rsidRPr="002F5F1C">
        <w:t>.</w:t>
      </w:r>
      <w:r w:rsidR="00E422DB" w:rsidRPr="002F5F1C">
        <w:rPr>
          <w:rStyle w:val="FootnoteReference"/>
        </w:rPr>
        <w:footnoteReference w:id="13"/>
      </w:r>
      <w:r w:rsidR="00E422DB" w:rsidRPr="002F5F1C">
        <w:t xml:space="preserve"> Further, upon the acquisition of territories, inhabitants became subjects of the British Crown.</w:t>
      </w:r>
      <w:r w:rsidR="00E422DB" w:rsidRPr="002F5F1C">
        <w:rPr>
          <w:rStyle w:val="FootnoteReference"/>
        </w:rPr>
        <w:footnoteReference w:id="14"/>
      </w:r>
      <w:r w:rsidR="00E422DB" w:rsidRPr="002F5F1C">
        <w:t xml:space="preserve"> </w:t>
      </w:r>
      <w:r w:rsidRPr="002F5F1C">
        <w:t xml:space="preserve">Although some commentators argue that the colonies acknowledged that Indigenous persons </w:t>
      </w:r>
      <w:r w:rsidRPr="002F5F1C">
        <w:lastRenderedPageBreak/>
        <w:t>held the legal status of subject,</w:t>
      </w:r>
      <w:r w:rsidRPr="002F5F1C">
        <w:rPr>
          <w:rStyle w:val="FootnoteReference"/>
        </w:rPr>
        <w:footnoteReference w:id="15"/>
      </w:r>
      <w:r w:rsidRPr="002F5F1C">
        <w:t xml:space="preserve"> debate within the colonies indicates that this issue was not resolved.</w:t>
      </w:r>
      <w:r w:rsidRPr="002F5F1C">
        <w:rPr>
          <w:rStyle w:val="FootnoteReference"/>
        </w:rPr>
        <w:footnoteReference w:id="16"/>
      </w:r>
      <w:r w:rsidRPr="002F5F1C">
        <w:t xml:space="preserve"> At the very least, practice was confused. The 1829 decision of the New South Wales Supreme Court in </w:t>
      </w:r>
      <w:r w:rsidRPr="002F5F1C">
        <w:rPr>
          <w:i/>
          <w:iCs/>
        </w:rPr>
        <w:t>R v Ballard</w:t>
      </w:r>
      <w:r w:rsidRPr="002F5F1C">
        <w:t>,</w:t>
      </w:r>
      <w:r w:rsidRPr="002F5F1C">
        <w:rPr>
          <w:rStyle w:val="FootnoteReference"/>
        </w:rPr>
        <w:footnoteReference w:id="17"/>
      </w:r>
      <w:r w:rsidRPr="002F5F1C">
        <w:t xml:space="preserve"> for example, held that Australian law had no ‘natural claim of… supremacy’ over Indigenous persons as they held no fealty to the Crown,</w:t>
      </w:r>
      <w:r w:rsidRPr="002F5F1C">
        <w:rPr>
          <w:rStyle w:val="FootnoteReference"/>
        </w:rPr>
        <w:footnoteReference w:id="18"/>
      </w:r>
      <w:r w:rsidRPr="002F5F1C">
        <w:t xml:space="preserve"> a position reflected throughout the jurisprudence and practice of the colonies.</w:t>
      </w:r>
      <w:r w:rsidRPr="002F5F1C">
        <w:rPr>
          <w:rStyle w:val="FootnoteReference"/>
        </w:rPr>
        <w:footnoteReference w:id="19"/>
      </w:r>
      <w:r w:rsidRPr="002F5F1C">
        <w:t xml:space="preserve"> The colonial courts, despite acknowledging the confines of the law,</w:t>
      </w:r>
      <w:r w:rsidRPr="002F5F1C">
        <w:rPr>
          <w:rStyle w:val="FootnoteReference"/>
        </w:rPr>
        <w:footnoteReference w:id="20"/>
      </w:r>
      <w:r w:rsidR="00E422DB">
        <w:t xml:space="preserve"> thus</w:t>
      </w:r>
      <w:r w:rsidRPr="002F5F1C">
        <w:t xml:space="preserve"> tended towards an interpretation that allowed the maintenance of a white national identity.</w:t>
      </w:r>
    </w:p>
    <w:p w14:paraId="6743E13C" w14:textId="77777777" w:rsidR="0049067F" w:rsidRPr="002F5F1C" w:rsidRDefault="0049067F" w:rsidP="0049067F">
      <w:pPr>
        <w:spacing w:line="480" w:lineRule="auto"/>
        <w:ind w:firstLine="720"/>
        <w:jc w:val="both"/>
      </w:pPr>
      <w:r w:rsidRPr="002F5F1C">
        <w:t>The courts also maintained a distinction between the legal status of white and non-white British subjects. The view under British law that ‘all the King’s subjects are members of one great society’</w:t>
      </w:r>
      <w:r w:rsidRPr="002F5F1C">
        <w:rPr>
          <w:rStyle w:val="FootnoteReference"/>
        </w:rPr>
        <w:footnoteReference w:id="21"/>
      </w:r>
      <w:r w:rsidRPr="002F5F1C">
        <w:t xml:space="preserve"> precluded an explicit denial of membership. Rather, it manifested in the language used and the evidentiary burdens placed on persons of colour in establishing they </w:t>
      </w:r>
      <w:r w:rsidRPr="002F5F1C">
        <w:rPr>
          <w:i/>
          <w:iCs/>
        </w:rPr>
        <w:t>were</w:t>
      </w:r>
      <w:r w:rsidRPr="002F5F1C">
        <w:t xml:space="preserve"> in fact British subjects. This is best seen in the treatment of Chinese immigrants.</w:t>
      </w:r>
      <w:r w:rsidRPr="002F5F1C">
        <w:rPr>
          <w:rStyle w:val="FootnoteReference"/>
        </w:rPr>
        <w:footnoteReference w:id="22"/>
      </w:r>
      <w:r w:rsidRPr="002F5F1C">
        <w:t xml:space="preserve"> In a determination on a writ of acquisition, for example, the Queensland District Court held that ‘a Chinaman was </w:t>
      </w:r>
      <w:r w:rsidRPr="00E422DB">
        <w:rPr>
          <w:i/>
          <w:iCs/>
        </w:rPr>
        <w:t>prima facie</w:t>
      </w:r>
      <w:r w:rsidRPr="002F5F1C">
        <w:t xml:space="preserve"> an alien. That was to say it was taken for granted he was an alien unless he showed he was not.’</w:t>
      </w:r>
      <w:r w:rsidRPr="002F5F1C">
        <w:rPr>
          <w:rStyle w:val="FootnoteReference"/>
        </w:rPr>
        <w:footnoteReference w:id="23"/>
      </w:r>
      <w:r w:rsidRPr="002F5F1C">
        <w:t xml:space="preserve"> As a result, in this particular case, although there was no evidence as to the birthplace or nationality of James Toro, he was assumed to not be entitled to membership in the Australian community – resulting in the reversion of his land to the Crown </w:t>
      </w:r>
      <w:r w:rsidRPr="002F5F1C">
        <w:lastRenderedPageBreak/>
        <w:t>– due to his race.</w:t>
      </w:r>
      <w:r w:rsidRPr="002F5F1C">
        <w:rPr>
          <w:rStyle w:val="FootnoteReference"/>
        </w:rPr>
        <w:footnoteReference w:id="24"/>
      </w:r>
      <w:r w:rsidRPr="002F5F1C">
        <w:t xml:space="preserve"> Similarly, in </w:t>
      </w:r>
      <w:r w:rsidRPr="002F5F1C">
        <w:rPr>
          <w:i/>
          <w:iCs/>
        </w:rPr>
        <w:t xml:space="preserve">Chung </w:t>
      </w:r>
      <w:proofErr w:type="spellStart"/>
      <w:r w:rsidRPr="002F5F1C">
        <w:rPr>
          <w:i/>
          <w:iCs/>
        </w:rPr>
        <w:t>Teong</w:t>
      </w:r>
      <w:proofErr w:type="spellEnd"/>
      <w:r w:rsidRPr="002F5F1C">
        <w:rPr>
          <w:i/>
          <w:iCs/>
        </w:rPr>
        <w:t xml:space="preserve"> Toy v Musgrove</w:t>
      </w:r>
      <w:r w:rsidRPr="002F5F1C">
        <w:t>,</w:t>
      </w:r>
      <w:r w:rsidRPr="002F5F1C">
        <w:rPr>
          <w:rStyle w:val="FootnoteReference"/>
        </w:rPr>
        <w:footnoteReference w:id="25"/>
      </w:r>
      <w:r w:rsidRPr="002F5F1C">
        <w:t xml:space="preserve"> Toy’s Chinese ethnicity led to his immediate attribution as a ‘subject of the Emperor of China and owed allegiance to him and was not a British subject,’ without evidence of whether he was in fact born in China, or in a British dominion. The statutory regime operated similarly. Each of the colonies introduced laws restricting arrival, and, more subtly, the availability of opportunities to those who had.</w:t>
      </w:r>
      <w:r w:rsidRPr="002F5F1C">
        <w:rPr>
          <w:rStyle w:val="FootnoteReference"/>
        </w:rPr>
        <w:footnoteReference w:id="26"/>
      </w:r>
      <w:r w:rsidRPr="002F5F1C">
        <w:t xml:space="preserve"> Although these exempted Chinese British subjects,</w:t>
      </w:r>
      <w:r w:rsidRPr="002F5F1C">
        <w:rPr>
          <w:rStyle w:val="FootnoteReference"/>
        </w:rPr>
        <w:footnoteReference w:id="27"/>
      </w:r>
      <w:r w:rsidRPr="002F5F1C">
        <w:t xml:space="preserve"> in practice, it was assumed that Chinese persons fell under the Act unless he or she proved otherwise.</w:t>
      </w:r>
      <w:r w:rsidRPr="002F5F1C">
        <w:rPr>
          <w:rStyle w:val="FootnoteReference"/>
        </w:rPr>
        <w:footnoteReference w:id="28"/>
      </w:r>
      <w:r w:rsidRPr="002F5F1C">
        <w:t xml:space="preserve"> The law thus allowed discrimination despite the formal status of subjecthood. Indeed, the ‘Father of Federation’ and then-New South Wales Premier, Sir Henry Parkes, noted that it was easier to ‘prevent the arrival of the immigrants than to discourage or harass them after they are arrived.’</w:t>
      </w:r>
      <w:r w:rsidRPr="002F5F1C">
        <w:rPr>
          <w:rStyle w:val="FootnoteReference"/>
        </w:rPr>
        <w:footnoteReference w:id="29"/>
      </w:r>
      <w:r w:rsidRPr="002F5F1C">
        <w:t xml:space="preserve"> </w:t>
      </w:r>
    </w:p>
    <w:p w14:paraId="43F35A05" w14:textId="0932D13B" w:rsidR="0049067F" w:rsidRPr="002F5F1C" w:rsidRDefault="0049067F" w:rsidP="009B45FC">
      <w:pPr>
        <w:spacing w:line="480" w:lineRule="auto"/>
        <w:ind w:firstLine="720"/>
        <w:jc w:val="both"/>
      </w:pPr>
      <w:r w:rsidRPr="002F5F1C">
        <w:t>This antagonism, and its realisation in law, ‘forged an ‘Australian’ sense of nationhood.’</w:t>
      </w:r>
      <w:r w:rsidRPr="002F5F1C">
        <w:rPr>
          <w:rStyle w:val="FootnoteReference"/>
        </w:rPr>
        <w:footnoteReference w:id="30"/>
      </w:r>
      <w:r w:rsidRPr="002F5F1C">
        <w:t xml:space="preserve"> For the colonies, the formal status of citizenship was malleable so as to reflect the substantive understanding of membership of Australia, with this conflated to an Anglo-Celtic identity. Appropriately, and quite tellingly, the language of ‘citizen’ in the lead up to Federation was used in a social sense.</w:t>
      </w:r>
      <w:r w:rsidRPr="002F5F1C">
        <w:rPr>
          <w:rStyle w:val="FootnoteReference"/>
        </w:rPr>
        <w:footnoteReference w:id="31"/>
      </w:r>
      <w:r w:rsidRPr="002F5F1C">
        <w:t xml:space="preserve"> The ‘citizen’ was a particular type of person rather than a status.</w:t>
      </w:r>
      <w:r w:rsidRPr="002F5F1C">
        <w:rPr>
          <w:rStyle w:val="FootnoteReference"/>
        </w:rPr>
        <w:footnoteReference w:id="32"/>
      </w:r>
      <w:r w:rsidRPr="002F5F1C">
        <w:t xml:space="preserve"> Central to the Australian conception of membership was what Sir Henry Parkes labelled the ‘crimson thread of kinship’, uniting those born in Australia to those born in London:</w:t>
      </w:r>
      <w:r w:rsidRPr="002F5F1C">
        <w:rPr>
          <w:rStyle w:val="FootnoteReference"/>
        </w:rPr>
        <w:footnoteReference w:id="33"/>
      </w:r>
      <w:r w:rsidRPr="002F5F1C">
        <w:t xml:space="preserve"> the commonality of the British race.</w:t>
      </w:r>
      <w:r w:rsidRPr="002F5F1C">
        <w:rPr>
          <w:rStyle w:val="FootnoteReference"/>
        </w:rPr>
        <w:footnoteReference w:id="34"/>
      </w:r>
    </w:p>
    <w:p w14:paraId="1D8F7ADC" w14:textId="1FFEE26C" w:rsidR="0049067F" w:rsidRPr="00846808" w:rsidRDefault="00846808" w:rsidP="00846808">
      <w:pPr>
        <w:spacing w:line="480" w:lineRule="auto"/>
        <w:jc w:val="center"/>
      </w:pPr>
      <w:bookmarkStart w:id="3" w:name="_Toc516208365"/>
      <w:r>
        <w:rPr>
          <w:smallCaps/>
        </w:rPr>
        <w:lastRenderedPageBreak/>
        <w:t>II</w:t>
      </w:r>
      <w:r w:rsidR="0049067F" w:rsidRPr="00846808">
        <w:rPr>
          <w:smallCaps/>
        </w:rPr>
        <w:t xml:space="preserve"> The Constitution</w:t>
      </w:r>
      <w:bookmarkEnd w:id="3"/>
    </w:p>
    <w:p w14:paraId="24691560" w14:textId="12854FA8" w:rsidR="0049067F" w:rsidRPr="002F5F1C" w:rsidRDefault="0049067F" w:rsidP="0049067F">
      <w:pPr>
        <w:spacing w:line="480" w:lineRule="auto"/>
        <w:jc w:val="both"/>
      </w:pPr>
      <w:r w:rsidRPr="002F5F1C">
        <w:t xml:space="preserve">The colonies’ disregard for a consistent (and accurate) line of jurisprudence in favour of measures ensuring a white, and in particular, British, citizenry manifested in the Constitutional Convention debates, as well as the </w:t>
      </w:r>
      <w:r w:rsidRPr="002F5F1C">
        <w:rPr>
          <w:i/>
          <w:iCs/>
        </w:rPr>
        <w:t>Constitution</w:t>
      </w:r>
      <w:r w:rsidRPr="002F5F1C">
        <w:t xml:space="preserve"> itself. The statements of the drafters are of particular significance given their future roles as political leaders and judges of the High Court.</w:t>
      </w:r>
      <w:r w:rsidRPr="002F5F1C">
        <w:rPr>
          <w:rStyle w:val="FootnoteReference"/>
        </w:rPr>
        <w:footnoteReference w:id="35"/>
      </w:r>
      <w:r w:rsidRPr="002F5F1C">
        <w:t xml:space="preserve"> Not only did their views shape the </w:t>
      </w:r>
      <w:r w:rsidRPr="002F5F1C">
        <w:rPr>
          <w:i/>
          <w:iCs/>
        </w:rPr>
        <w:t>Constitution</w:t>
      </w:r>
      <w:r w:rsidRPr="002F5F1C">
        <w:t>, but also the legislation, policy and jurisprudence of the new Federation.</w:t>
      </w:r>
    </w:p>
    <w:p w14:paraId="57BCCA70" w14:textId="77777777" w:rsidR="00D660A3" w:rsidRDefault="0049067F" w:rsidP="00D660A3">
      <w:pPr>
        <w:spacing w:line="480" w:lineRule="auto"/>
        <w:ind w:firstLine="720"/>
        <w:jc w:val="both"/>
      </w:pPr>
      <w:r w:rsidRPr="002F5F1C">
        <w:t xml:space="preserve">In the </w:t>
      </w:r>
      <w:r w:rsidRPr="002F5F1C">
        <w:rPr>
          <w:i/>
          <w:iCs/>
        </w:rPr>
        <w:t>Constitution</w:t>
      </w:r>
      <w:r w:rsidRPr="002F5F1C">
        <w:t>, the term ‘citizen’ only appears in s 44(</w:t>
      </w:r>
      <w:proofErr w:type="spellStart"/>
      <w:r w:rsidRPr="002F5F1C">
        <w:t>i</w:t>
      </w:r>
      <w:proofErr w:type="spellEnd"/>
      <w:r w:rsidRPr="002F5F1C">
        <w:t xml:space="preserve">), in relation to ‘foreign subjects or citizens’. There is no use of the term in the context of </w:t>
      </w:r>
      <w:r w:rsidRPr="002F5F1C">
        <w:rPr>
          <w:i/>
          <w:iCs/>
        </w:rPr>
        <w:t>Australian</w:t>
      </w:r>
      <w:r w:rsidRPr="002F5F1C">
        <w:t xml:space="preserve"> citizens.</w:t>
      </w:r>
      <w:r w:rsidRPr="002F5F1C">
        <w:rPr>
          <w:rStyle w:val="FootnoteReference"/>
        </w:rPr>
        <w:footnoteReference w:id="36"/>
      </w:r>
      <w:r w:rsidRPr="002F5F1C">
        <w:t xml:space="preserve"> This is despite the attachment of rhetoric on citizenship to the Federation movement,</w:t>
      </w:r>
      <w:r w:rsidRPr="002F5F1C">
        <w:rPr>
          <w:rStyle w:val="FootnoteReference"/>
        </w:rPr>
        <w:footnoteReference w:id="37"/>
      </w:r>
      <w:r w:rsidRPr="002F5F1C">
        <w:t xml:space="preserve"> the considerable discussion of the word in the Convention debates,</w:t>
      </w:r>
      <w:r w:rsidRPr="002F5F1C">
        <w:rPr>
          <w:rStyle w:val="FootnoteReference"/>
        </w:rPr>
        <w:footnoteReference w:id="38"/>
      </w:r>
      <w:r w:rsidR="00E422DB">
        <w:t xml:space="preserve"> and the inclusion of the word ‘citizen’ in the </w:t>
      </w:r>
      <w:r w:rsidRPr="002F5F1C">
        <w:t xml:space="preserve">draft </w:t>
      </w:r>
      <w:r w:rsidRPr="002F5F1C">
        <w:rPr>
          <w:i/>
          <w:iCs/>
        </w:rPr>
        <w:t>Constitution</w:t>
      </w:r>
      <w:r w:rsidRPr="002F5F1C">
        <w:t xml:space="preserve"> produced at the first Constitutional Convention in 1891.</w:t>
      </w:r>
      <w:r w:rsidRPr="002F5F1C">
        <w:rPr>
          <w:rStyle w:val="FootnoteReference"/>
        </w:rPr>
        <w:footnoteReference w:id="39"/>
      </w:r>
      <w:r w:rsidRPr="002F5F1C">
        <w:t xml:space="preserve"> The decision not to use the word ‘citizen’ – references to the people governed by the </w:t>
      </w:r>
      <w:r w:rsidRPr="002F5F1C">
        <w:rPr>
          <w:i/>
          <w:iCs/>
        </w:rPr>
        <w:t>Constitution</w:t>
      </w:r>
      <w:r w:rsidRPr="002F5F1C">
        <w:t xml:space="preserve"> rather adopting the language of ‘subject’,</w:t>
      </w:r>
      <w:r w:rsidRPr="002F5F1C">
        <w:rPr>
          <w:rStyle w:val="FootnoteReference"/>
        </w:rPr>
        <w:footnoteReference w:id="40"/>
      </w:r>
      <w:r w:rsidRPr="002F5F1C">
        <w:t xml:space="preserve"> ‘person’ or ‘people’,</w:t>
      </w:r>
      <w:r w:rsidRPr="002F5F1C">
        <w:rPr>
          <w:rStyle w:val="FootnoteReference"/>
        </w:rPr>
        <w:footnoteReference w:id="41"/>
      </w:r>
      <w:r w:rsidRPr="002F5F1C">
        <w:t xml:space="preserve"> ‘residents’</w:t>
      </w:r>
      <w:r w:rsidRPr="002F5F1C">
        <w:rPr>
          <w:rStyle w:val="FootnoteReference"/>
        </w:rPr>
        <w:footnoteReference w:id="42"/>
      </w:r>
      <w:r w:rsidRPr="002F5F1C">
        <w:t xml:space="preserve"> and ‘electors’</w:t>
      </w:r>
      <w:r w:rsidRPr="002F5F1C">
        <w:rPr>
          <w:rStyle w:val="FootnoteReference"/>
        </w:rPr>
        <w:footnoteReference w:id="43"/>
      </w:r>
      <w:r w:rsidRPr="002F5F1C">
        <w:t xml:space="preserve"> – was a deliberate choice</w:t>
      </w:r>
      <w:r w:rsidR="00D660A3">
        <w:t>,</w:t>
      </w:r>
      <w:r w:rsidRPr="002F5F1C">
        <w:rPr>
          <w:rStyle w:val="FootnoteReference"/>
        </w:rPr>
        <w:footnoteReference w:id="44"/>
      </w:r>
      <w:r w:rsidR="00D660A3">
        <w:t xml:space="preserve"> </w:t>
      </w:r>
      <w:r w:rsidRPr="002F5F1C">
        <w:t>go</w:t>
      </w:r>
      <w:r w:rsidR="00D660A3">
        <w:t>ing</w:t>
      </w:r>
      <w:r w:rsidRPr="002F5F1C">
        <w:t xml:space="preserve"> towards the consciousness of the conflict between formal and substantive notions of citizenship. </w:t>
      </w:r>
    </w:p>
    <w:p w14:paraId="54A81F8D" w14:textId="58E85745" w:rsidR="0049067F" w:rsidRPr="002F5F1C" w:rsidRDefault="00D660A3" w:rsidP="00D660A3">
      <w:pPr>
        <w:spacing w:line="480" w:lineRule="auto"/>
        <w:ind w:firstLine="720"/>
        <w:jc w:val="both"/>
      </w:pPr>
      <w:r>
        <w:rPr>
          <w:lang w:eastAsia="en-AU"/>
        </w:rPr>
        <w:lastRenderedPageBreak/>
        <w:t>It was clear from the first Constitutional convention that the</w:t>
      </w:r>
      <w:r w:rsidR="0049067F" w:rsidRPr="002F5F1C">
        <w:rPr>
          <w:lang w:eastAsia="en-AU"/>
        </w:rPr>
        <w:t xml:space="preserve"> drafters </w:t>
      </w:r>
      <w:r w:rsidR="00967595">
        <w:rPr>
          <w:lang w:eastAsia="en-AU"/>
        </w:rPr>
        <w:t>wished</w:t>
      </w:r>
      <w:r w:rsidR="0049067F" w:rsidRPr="002F5F1C">
        <w:rPr>
          <w:lang w:eastAsia="en-AU"/>
        </w:rPr>
        <w:t xml:space="preserve"> to ensure that both state and federal governments could exclude undesirable minority groups from membership of the community.</w:t>
      </w:r>
      <w:r w:rsidR="0049067F" w:rsidRPr="002F5F1C">
        <w:rPr>
          <w:rStyle w:val="FootnoteReference"/>
          <w:lang w:eastAsia="en-AU"/>
        </w:rPr>
        <w:footnoteReference w:id="45"/>
      </w:r>
      <w:r w:rsidR="0049067F" w:rsidRPr="002F5F1C">
        <w:rPr>
          <w:lang w:eastAsia="en-AU"/>
        </w:rPr>
        <w:t xml:space="preserve"> Persons from such a minority who were also British subjects due to their birth in a British dominion caused particular issues to the drafters.</w:t>
      </w:r>
      <w:r w:rsidR="0049067F" w:rsidRPr="002F5F1C">
        <w:rPr>
          <w:rStyle w:val="FootnoteReference"/>
          <w:lang w:eastAsia="en-AU"/>
        </w:rPr>
        <w:footnoteReference w:id="46"/>
      </w:r>
      <w:r w:rsidR="0049067F" w:rsidRPr="002F5F1C">
        <w:rPr>
          <w:lang w:eastAsia="en-AU"/>
        </w:rPr>
        <w:t xml:space="preserve"> As British subjecthood granted </w:t>
      </w:r>
      <w:r>
        <w:rPr>
          <w:lang w:eastAsia="en-AU"/>
        </w:rPr>
        <w:t>Australian</w:t>
      </w:r>
      <w:r w:rsidR="0049067F" w:rsidRPr="002F5F1C">
        <w:rPr>
          <w:lang w:eastAsia="en-AU"/>
        </w:rPr>
        <w:t xml:space="preserve"> </w:t>
      </w:r>
      <w:r>
        <w:rPr>
          <w:lang w:eastAsia="en-AU"/>
        </w:rPr>
        <w:t>citizenship at law</w:t>
      </w:r>
      <w:r w:rsidR="0049067F" w:rsidRPr="002F5F1C">
        <w:rPr>
          <w:lang w:eastAsia="en-AU"/>
        </w:rPr>
        <w:t>,</w:t>
      </w:r>
      <w:r w:rsidRPr="002F5F1C">
        <w:rPr>
          <w:vertAlign w:val="superscript"/>
        </w:rPr>
        <w:footnoteReference w:id="47"/>
      </w:r>
      <w:r w:rsidR="0049067F" w:rsidRPr="002F5F1C">
        <w:rPr>
          <w:lang w:eastAsia="en-AU"/>
        </w:rPr>
        <w:t xml:space="preserve"> a </w:t>
      </w:r>
      <w:r w:rsidR="0049067F" w:rsidRPr="002F5F1C">
        <w:t>defined citizenship</w:t>
      </w:r>
      <w:r w:rsidR="0049067F" w:rsidRPr="002F5F1C">
        <w:rPr>
          <w:lang w:eastAsia="en-AU"/>
        </w:rPr>
        <w:t xml:space="preserve"> </w:t>
      </w:r>
      <w:r w:rsidR="0049067F" w:rsidRPr="002F5F1C">
        <w:t>would have constitutionally guaranteed membership to undesired persons.</w:t>
      </w:r>
      <w:r w:rsidR="0049067F" w:rsidRPr="002F5F1C">
        <w:rPr>
          <w:rStyle w:val="FootnoteReference"/>
        </w:rPr>
        <w:footnoteReference w:id="48"/>
      </w:r>
      <w:r w:rsidR="0049067F" w:rsidRPr="002F5F1C">
        <w:t xml:space="preserve"> Indeed, Isaacs noted that a definition would not have permitted distinction between ‘these people and ordinary Europeans.’</w:t>
      </w:r>
      <w:r w:rsidR="0049067F" w:rsidRPr="002F5F1C">
        <w:rPr>
          <w:vertAlign w:val="superscript"/>
        </w:rPr>
        <w:footnoteReference w:id="49"/>
      </w:r>
      <w:r w:rsidR="0049067F" w:rsidRPr="002F5F1C">
        <w:t xml:space="preserve"> The absence of a definition permitted state and federal Parliament to control who substantively was Australian without derogation from the prevailing view – and law – that membership was based on British subjecthood. Persons from minority groups explicitly fell outside this group. As Barton commented, </w:t>
      </w:r>
      <w:r w:rsidR="0049067F" w:rsidRPr="002F5F1C">
        <w:rPr>
          <w:lang w:eastAsia="en-AU"/>
        </w:rPr>
        <w:t>Australia’s citizens ‘shall not be people of alien races.’</w:t>
      </w:r>
      <w:r w:rsidR="0049067F" w:rsidRPr="002F5F1C">
        <w:rPr>
          <w:rStyle w:val="FootnoteReference"/>
          <w:lang w:eastAsia="en-AU"/>
        </w:rPr>
        <w:footnoteReference w:id="50"/>
      </w:r>
      <w:r w:rsidR="0049067F" w:rsidRPr="002F5F1C">
        <w:rPr>
          <w:lang w:eastAsia="en-AU"/>
        </w:rPr>
        <w:t xml:space="preserve"> </w:t>
      </w:r>
      <w:r w:rsidR="0049067F" w:rsidRPr="002F5F1C">
        <w:t>The absence of a constitutionally defined citizenship further reflected the attitude that there was no need to make clear ‘the people’ of the Commonwealth.</w:t>
      </w:r>
      <w:r w:rsidR="0049067F" w:rsidRPr="002F5F1C">
        <w:rPr>
          <w:rStyle w:val="FootnoteReference"/>
          <w:lang w:eastAsia="en-AU"/>
        </w:rPr>
        <w:footnoteReference w:id="51"/>
      </w:r>
      <w:r w:rsidR="0049067F" w:rsidRPr="002F5F1C">
        <w:t xml:space="preserve">A </w:t>
      </w:r>
      <w:r w:rsidR="0049067F" w:rsidRPr="002F5F1C">
        <w:rPr>
          <w:lang w:eastAsia="en-AU"/>
        </w:rPr>
        <w:t>substantive conception of citizenship therefore prevailed. It was</w:t>
      </w:r>
      <w:r w:rsidR="0049067F" w:rsidRPr="002F5F1C">
        <w:t xml:space="preserve"> not based on rights or loyalty but rather was social, underwritten by the understanding that to be an Australian was to be British, and, perhaps even more importantly, to be white. </w:t>
      </w:r>
    </w:p>
    <w:p w14:paraId="50CF4EEB" w14:textId="77777777" w:rsidR="0049067F" w:rsidRPr="002F5F1C" w:rsidRDefault="0049067F" w:rsidP="0049067F">
      <w:pPr>
        <w:spacing w:line="480" w:lineRule="auto"/>
        <w:jc w:val="both"/>
      </w:pPr>
    </w:p>
    <w:p w14:paraId="3C138063" w14:textId="0E1AAF30" w:rsidR="0049067F" w:rsidRPr="00846808" w:rsidRDefault="00846808" w:rsidP="0049067F">
      <w:pPr>
        <w:pStyle w:val="Heading2"/>
        <w:spacing w:line="480" w:lineRule="auto"/>
        <w:rPr>
          <w:smallCaps/>
        </w:rPr>
      </w:pPr>
      <w:bookmarkStart w:id="6" w:name="_Toc516208366"/>
      <w:r>
        <w:rPr>
          <w:smallCaps/>
        </w:rPr>
        <w:t>III</w:t>
      </w:r>
      <w:r w:rsidR="0049067F" w:rsidRPr="00846808">
        <w:rPr>
          <w:smallCaps/>
        </w:rPr>
        <w:t xml:space="preserve"> Towards an Australian citizenship</w:t>
      </w:r>
      <w:bookmarkEnd w:id="6"/>
    </w:p>
    <w:p w14:paraId="1FF86F8A" w14:textId="77777777" w:rsidR="0049067F" w:rsidRPr="002F5F1C" w:rsidRDefault="0049067F" w:rsidP="007A7DBB">
      <w:pPr>
        <w:spacing w:line="480" w:lineRule="auto"/>
        <w:jc w:val="both"/>
        <w:rPr>
          <w:lang w:eastAsia="en-AU"/>
        </w:rPr>
      </w:pPr>
      <w:r w:rsidRPr="002F5F1C">
        <w:rPr>
          <w:lang w:eastAsia="en-AU"/>
        </w:rPr>
        <w:t>Restrictions on entry into Australia continued post-Federation.</w:t>
      </w:r>
      <w:r w:rsidRPr="002F5F1C">
        <w:rPr>
          <w:rStyle w:val="FootnoteReference"/>
          <w:lang w:eastAsia="en-AU"/>
        </w:rPr>
        <w:footnoteReference w:id="52"/>
      </w:r>
      <w:r w:rsidRPr="002F5F1C">
        <w:rPr>
          <w:lang w:eastAsia="en-AU"/>
        </w:rPr>
        <w:t xml:space="preserve"> Indeed, the first enactment of the new Parliament following the appropriation bills was the </w:t>
      </w:r>
      <w:r w:rsidRPr="002F5F1C">
        <w:rPr>
          <w:i/>
          <w:iCs/>
          <w:lang w:eastAsia="en-AU"/>
        </w:rPr>
        <w:t>Immigration Restriction Act 1901</w:t>
      </w:r>
      <w:r w:rsidRPr="002F5F1C">
        <w:rPr>
          <w:lang w:eastAsia="en-AU"/>
        </w:rPr>
        <w:t xml:space="preserve"> </w:t>
      </w:r>
      <w:r w:rsidRPr="002F5F1C">
        <w:rPr>
          <w:lang w:eastAsia="en-AU"/>
        </w:rPr>
        <w:lastRenderedPageBreak/>
        <w:t>(Cth), and with it, the beginnings of the White Australia Policy.</w:t>
      </w:r>
      <w:r w:rsidRPr="002F5F1C">
        <w:rPr>
          <w:rStyle w:val="FootnoteReference"/>
          <w:lang w:eastAsia="en-AU"/>
        </w:rPr>
        <w:footnoteReference w:id="53"/>
      </w:r>
      <w:r w:rsidRPr="002F5F1C">
        <w:rPr>
          <w:lang w:eastAsia="en-AU"/>
        </w:rPr>
        <w:t xml:space="preserve"> The rhetoric underlying the Bill’s introduction related strongly to the creation of a national identity. The Attorney-General, Alfred Deakin, for example, commented that the Act was necessary because of ‘the instinct of self-preservation – for it is nothing less than the national manhood, the national character, and the national future that are at stake.’</w:t>
      </w:r>
      <w:r w:rsidRPr="002F5F1C">
        <w:rPr>
          <w:rStyle w:val="FootnoteReference"/>
          <w:lang w:eastAsia="en-AU"/>
        </w:rPr>
        <w:footnoteReference w:id="54"/>
      </w:r>
      <w:r w:rsidRPr="002F5F1C">
        <w:rPr>
          <w:lang w:eastAsia="en-AU"/>
        </w:rPr>
        <w:t xml:space="preserve"> The maintenance of a white Australian nationality as a form of substantive belonging was thus in part exercised through border protection. The dictation test similarly was used as a method of excluding undesired racial groups.</w:t>
      </w:r>
      <w:r w:rsidRPr="002F5F1C">
        <w:rPr>
          <w:rStyle w:val="FootnoteReference"/>
          <w:lang w:eastAsia="en-AU"/>
        </w:rPr>
        <w:footnoteReference w:id="55"/>
      </w:r>
      <w:r w:rsidRPr="002F5F1C">
        <w:rPr>
          <w:lang w:eastAsia="en-AU"/>
        </w:rPr>
        <w:t xml:space="preserve"> Any immigrant present in Australia for less than one (then amended to three) years could be required to sit the test, with the possibility of deportation if he or she failed.</w:t>
      </w:r>
      <w:r w:rsidRPr="002F5F1C">
        <w:rPr>
          <w:rStyle w:val="FootnoteReference"/>
          <w:lang w:eastAsia="en-AU"/>
        </w:rPr>
        <w:footnoteReference w:id="56"/>
      </w:r>
      <w:r w:rsidRPr="002F5F1C">
        <w:rPr>
          <w:lang w:eastAsia="en-AU"/>
        </w:rPr>
        <w:t xml:space="preserve"> Moreover, the discretion over the conferral of formal membership through naturalisation reflected substantive notions of Australian identity. There was no formal Australian citizenship through legislation; rather, legal membership of the community was conferred at common law either by birth or by naturalisation as a British subject.</w:t>
      </w:r>
      <w:r w:rsidRPr="002F5F1C">
        <w:rPr>
          <w:rStyle w:val="FootnoteReference"/>
          <w:lang w:eastAsia="en-AU"/>
        </w:rPr>
        <w:footnoteReference w:id="57"/>
      </w:r>
      <w:r w:rsidRPr="002F5F1C">
        <w:rPr>
          <w:lang w:eastAsia="en-AU"/>
        </w:rPr>
        <w:t xml:space="preserve"> This allowed maintenance of a white Australian identity. The </w:t>
      </w:r>
      <w:r w:rsidRPr="002F5F1C">
        <w:rPr>
          <w:i/>
          <w:iCs/>
          <w:lang w:eastAsia="en-AU"/>
        </w:rPr>
        <w:t>Naturalization Act</w:t>
      </w:r>
      <w:r w:rsidRPr="002F5F1C">
        <w:rPr>
          <w:lang w:eastAsia="en-AU"/>
        </w:rPr>
        <w:t>,</w:t>
      </w:r>
      <w:r w:rsidRPr="002F5F1C">
        <w:rPr>
          <w:rStyle w:val="FootnoteReference"/>
          <w:lang w:eastAsia="en-AU"/>
        </w:rPr>
        <w:footnoteReference w:id="58"/>
      </w:r>
      <w:r w:rsidRPr="002F5F1C">
        <w:rPr>
          <w:lang w:eastAsia="en-AU"/>
        </w:rPr>
        <w:t xml:space="preserve"> for example, allowed an application for citizenship</w:t>
      </w:r>
      <w:r w:rsidRPr="002F5F1C">
        <w:rPr>
          <w:i/>
          <w:iCs/>
          <w:lang w:eastAsia="en-AU"/>
        </w:rPr>
        <w:t xml:space="preserve"> </w:t>
      </w:r>
      <w:r w:rsidRPr="002F5F1C">
        <w:rPr>
          <w:lang w:eastAsia="en-AU"/>
        </w:rPr>
        <w:t>to be refused on any grounds.</w:t>
      </w:r>
      <w:r w:rsidRPr="002F5F1C">
        <w:rPr>
          <w:rStyle w:val="FootnoteReference"/>
          <w:lang w:eastAsia="en-AU"/>
        </w:rPr>
        <w:footnoteReference w:id="59"/>
      </w:r>
      <w:r w:rsidRPr="002F5F1C">
        <w:rPr>
          <w:lang w:eastAsia="en-AU"/>
        </w:rPr>
        <w:t xml:space="preserve"> This effectively resulted in the exclusion of non-white persons from Australia.</w:t>
      </w:r>
      <w:r w:rsidRPr="002F5F1C">
        <w:rPr>
          <w:rStyle w:val="FootnoteReference"/>
          <w:lang w:eastAsia="en-AU"/>
        </w:rPr>
        <w:footnoteReference w:id="60"/>
      </w:r>
      <w:r w:rsidRPr="002F5F1C">
        <w:rPr>
          <w:lang w:eastAsia="en-AU"/>
        </w:rPr>
        <w:t xml:space="preserve"> </w:t>
      </w:r>
    </w:p>
    <w:p w14:paraId="18DBB3C9" w14:textId="77777777" w:rsidR="0049067F" w:rsidRPr="002F5F1C" w:rsidRDefault="0049067F" w:rsidP="0049067F">
      <w:pPr>
        <w:spacing w:line="480" w:lineRule="auto"/>
        <w:ind w:firstLine="720"/>
        <w:jc w:val="both"/>
        <w:rPr>
          <w:lang w:eastAsia="en-AU"/>
        </w:rPr>
      </w:pPr>
      <w:r w:rsidRPr="002F5F1C">
        <w:rPr>
          <w:lang w:eastAsia="en-AU"/>
        </w:rPr>
        <w:t>Early decisions of the High Court similarly viewed citizenship as a method of exclusion.</w:t>
      </w:r>
      <w:r w:rsidRPr="002F5F1C">
        <w:rPr>
          <w:rStyle w:val="FootnoteReference"/>
          <w:lang w:eastAsia="en-AU"/>
        </w:rPr>
        <w:footnoteReference w:id="61"/>
      </w:r>
      <w:r w:rsidRPr="002F5F1C">
        <w:rPr>
          <w:lang w:eastAsia="en-AU"/>
        </w:rPr>
        <w:t xml:space="preserve"> The High Court in </w:t>
      </w:r>
      <w:r w:rsidRPr="002F5F1C">
        <w:rPr>
          <w:i/>
          <w:iCs/>
          <w:lang w:eastAsia="en-AU"/>
        </w:rPr>
        <w:t xml:space="preserve">Potter v </w:t>
      </w:r>
      <w:proofErr w:type="spellStart"/>
      <w:r w:rsidRPr="002F5F1C">
        <w:rPr>
          <w:i/>
          <w:iCs/>
          <w:lang w:eastAsia="en-AU"/>
        </w:rPr>
        <w:t>Minahan</w:t>
      </w:r>
      <w:proofErr w:type="spellEnd"/>
      <w:r w:rsidRPr="002F5F1C">
        <w:rPr>
          <w:lang w:eastAsia="en-AU"/>
        </w:rPr>
        <w:t xml:space="preserve">, in determining whether a man born to a Chinese father and white Australian mother was an immigrant, used the language of ‘returning home’. Crock and Berg comment that the majority’s conclusion that </w:t>
      </w:r>
      <w:proofErr w:type="spellStart"/>
      <w:r w:rsidRPr="002F5F1C">
        <w:rPr>
          <w:lang w:eastAsia="en-AU"/>
        </w:rPr>
        <w:t>Minahan</w:t>
      </w:r>
      <w:proofErr w:type="spellEnd"/>
      <w:r w:rsidRPr="002F5F1C">
        <w:rPr>
          <w:lang w:eastAsia="en-AU"/>
        </w:rPr>
        <w:t xml:space="preserve"> was not an </w:t>
      </w:r>
      <w:r w:rsidRPr="002F5F1C">
        <w:rPr>
          <w:lang w:eastAsia="en-AU"/>
        </w:rPr>
        <w:lastRenderedPageBreak/>
        <w:t>immigrant was likely influenced by his partially white heritage,</w:t>
      </w:r>
      <w:r w:rsidRPr="002F5F1C">
        <w:rPr>
          <w:rStyle w:val="FootnoteReference"/>
          <w:lang w:eastAsia="en-AU"/>
        </w:rPr>
        <w:footnoteReference w:id="62"/>
      </w:r>
      <w:r w:rsidRPr="002F5F1C">
        <w:rPr>
          <w:lang w:eastAsia="en-AU"/>
        </w:rPr>
        <w:t xml:space="preserve"> especially given the difference in treatment from those who were entirely of Chinese descent.</w:t>
      </w:r>
      <w:r w:rsidRPr="002F5F1C">
        <w:rPr>
          <w:rStyle w:val="FootnoteReference"/>
          <w:lang w:eastAsia="en-AU"/>
        </w:rPr>
        <w:footnoteReference w:id="63"/>
      </w:r>
      <w:r w:rsidRPr="002F5F1C">
        <w:rPr>
          <w:lang w:eastAsia="en-AU"/>
        </w:rPr>
        <w:t xml:space="preserve">  Also of note is Isaacs J’s dissent, which expressly disregards birthplace in favour of consideration of whether a person was ‘a constituent part of the community known as the Australian people.’</w:t>
      </w:r>
      <w:r w:rsidRPr="002F5F1C">
        <w:rPr>
          <w:rStyle w:val="FootnoteReference"/>
          <w:lang w:eastAsia="en-AU"/>
        </w:rPr>
        <w:footnoteReference w:id="64"/>
      </w:r>
      <w:r w:rsidRPr="002F5F1C">
        <w:rPr>
          <w:lang w:eastAsia="en-AU"/>
        </w:rPr>
        <w:t xml:space="preserve"> This test of ‘constituent part’ was later implicitly upheld by the majority in </w:t>
      </w:r>
      <w:r w:rsidRPr="002F5F1C">
        <w:rPr>
          <w:i/>
          <w:iCs/>
          <w:lang w:eastAsia="en-AU"/>
        </w:rPr>
        <w:t>Donohoe v Wong Sau</w:t>
      </w:r>
      <w:r w:rsidRPr="002F5F1C">
        <w:rPr>
          <w:lang w:eastAsia="en-AU"/>
        </w:rPr>
        <w:t xml:space="preserve"> in their assessment that Wong Sau was not ‘returning home’ despite her birth in Australia.</w:t>
      </w:r>
      <w:r w:rsidRPr="002F5F1C">
        <w:rPr>
          <w:rStyle w:val="FootnoteReference"/>
          <w:lang w:eastAsia="en-AU"/>
        </w:rPr>
        <w:footnoteReference w:id="65"/>
      </w:r>
      <w:r w:rsidRPr="002F5F1C">
        <w:rPr>
          <w:lang w:eastAsia="en-AU"/>
        </w:rPr>
        <w:t xml:space="preserve"> In that case, Isaacs J based his assessment that Wong Sau was not a part of the Australian community despite her birth in Australia on considerations of language, upbringing, education, and sentiment.</w:t>
      </w:r>
      <w:r w:rsidRPr="002F5F1C">
        <w:rPr>
          <w:rStyle w:val="FootnoteReference"/>
          <w:lang w:eastAsia="en-AU"/>
        </w:rPr>
        <w:footnoteReference w:id="66"/>
      </w:r>
      <w:r w:rsidRPr="002F5F1C">
        <w:rPr>
          <w:lang w:eastAsia="en-AU"/>
        </w:rPr>
        <w:t xml:space="preserve"> To be a constituent part of the community, one had to be white, or an exceptional person of colour.</w:t>
      </w:r>
      <w:r w:rsidRPr="002F5F1C">
        <w:rPr>
          <w:rStyle w:val="FootnoteReference"/>
          <w:lang w:eastAsia="en-AU"/>
        </w:rPr>
        <w:footnoteReference w:id="67"/>
      </w:r>
      <w:r w:rsidRPr="002F5F1C">
        <w:rPr>
          <w:lang w:eastAsia="en-AU"/>
        </w:rPr>
        <w:t xml:space="preserve"> This is also seen in the treatment of Aboriginal and Torres Strait Islander peoples. Although formally British subjects,</w:t>
      </w:r>
      <w:r w:rsidRPr="002F5F1C">
        <w:rPr>
          <w:rStyle w:val="FootnoteReference"/>
          <w:lang w:eastAsia="en-AU"/>
        </w:rPr>
        <w:footnoteReference w:id="68"/>
      </w:r>
      <w:r w:rsidRPr="002F5F1C">
        <w:rPr>
          <w:lang w:eastAsia="en-AU"/>
        </w:rPr>
        <w:t xml:space="preserve"> in practice, Indigenous persons were excluded from membership of the Australian community and the privileges this conferred.</w:t>
      </w:r>
      <w:r w:rsidRPr="002F5F1C">
        <w:rPr>
          <w:rStyle w:val="FootnoteReference"/>
          <w:lang w:eastAsia="en-AU"/>
        </w:rPr>
        <w:footnoteReference w:id="69"/>
      </w:r>
      <w:r w:rsidRPr="002F5F1C">
        <w:rPr>
          <w:lang w:eastAsia="en-AU"/>
        </w:rPr>
        <w:t xml:space="preserve"> </w:t>
      </w:r>
    </w:p>
    <w:p w14:paraId="26F28BF5" w14:textId="77777777" w:rsidR="00D660A3" w:rsidRDefault="0049067F" w:rsidP="0049067F">
      <w:pPr>
        <w:spacing w:line="480" w:lineRule="auto"/>
        <w:ind w:firstLine="720"/>
        <w:jc w:val="both"/>
        <w:rPr>
          <w:lang w:eastAsia="en-AU"/>
        </w:rPr>
      </w:pPr>
      <w:r w:rsidRPr="002F5F1C">
        <w:rPr>
          <w:lang w:eastAsia="en-AU"/>
        </w:rPr>
        <w:t xml:space="preserve">The concept of citizenship remained uncertain even after the codification of an Australian citizenship through the passage of the </w:t>
      </w:r>
      <w:r w:rsidRPr="002F5F1C">
        <w:rPr>
          <w:i/>
          <w:lang w:val="en-GB" w:eastAsia="en-AU"/>
        </w:rPr>
        <w:t>Australian Citizenship Act</w:t>
      </w:r>
      <w:r w:rsidRPr="002F5F1C">
        <w:rPr>
          <w:lang w:val="en-GB" w:eastAsia="en-AU"/>
        </w:rPr>
        <w:t xml:space="preserve"> </w:t>
      </w:r>
      <w:r w:rsidRPr="002F5F1C">
        <w:rPr>
          <w:i/>
          <w:lang w:val="en-GB" w:eastAsia="en-AU"/>
        </w:rPr>
        <w:t>1948</w:t>
      </w:r>
      <w:r w:rsidRPr="002F5F1C">
        <w:rPr>
          <w:lang w:val="en-GB" w:eastAsia="en-AU"/>
        </w:rPr>
        <w:t>.</w:t>
      </w:r>
      <w:r w:rsidRPr="002F5F1C">
        <w:rPr>
          <w:lang w:eastAsia="en-AU"/>
        </w:rPr>
        <w:t xml:space="preserve"> The Act granted citizenship to persons born in Australia</w:t>
      </w:r>
      <w:r w:rsidRPr="002F5F1C">
        <w:rPr>
          <w:rStyle w:val="FootnoteReference"/>
          <w:lang w:eastAsia="en-AU"/>
        </w:rPr>
        <w:footnoteReference w:id="70"/>
      </w:r>
      <w:r w:rsidRPr="002F5F1C">
        <w:rPr>
          <w:lang w:eastAsia="en-AU"/>
        </w:rPr>
        <w:t xml:space="preserve"> or those naturalised under the Act.</w:t>
      </w:r>
      <w:r w:rsidRPr="002F5F1C">
        <w:rPr>
          <w:rStyle w:val="FootnoteReference"/>
          <w:lang w:eastAsia="en-AU"/>
        </w:rPr>
        <w:footnoteReference w:id="71"/>
      </w:r>
      <w:r w:rsidRPr="002F5F1C">
        <w:rPr>
          <w:lang w:eastAsia="en-AU"/>
        </w:rPr>
        <w:t xml:space="preserve"> This was a ‘bare’ citizenship that neither altered nor defined substantive notions.</w:t>
      </w:r>
      <w:r w:rsidRPr="002F5F1C">
        <w:rPr>
          <w:rStyle w:val="FootnoteReference"/>
          <w:lang w:eastAsia="en-AU"/>
        </w:rPr>
        <w:footnoteReference w:id="72"/>
      </w:r>
      <w:r w:rsidRPr="002F5F1C">
        <w:rPr>
          <w:lang w:eastAsia="en-AU"/>
        </w:rPr>
        <w:t xml:space="preserve"> As Chesterman and Galligan note, the only impact was the change in formal label from British subject to Australian.</w:t>
      </w:r>
      <w:r w:rsidRPr="002F5F1C">
        <w:rPr>
          <w:rStyle w:val="FootnoteReference"/>
          <w:lang w:eastAsia="en-AU"/>
        </w:rPr>
        <w:footnoteReference w:id="73"/>
      </w:r>
      <w:r w:rsidRPr="002F5F1C">
        <w:rPr>
          <w:lang w:eastAsia="en-AU"/>
        </w:rPr>
        <w:t xml:space="preserve"> Indeed, substantive membership continued to be racial. The broad discretion </w:t>
      </w:r>
      <w:r w:rsidRPr="002F5F1C">
        <w:rPr>
          <w:lang w:eastAsia="en-AU"/>
        </w:rPr>
        <w:lastRenderedPageBreak/>
        <w:t>granted to the Minister over admittance and deportation</w:t>
      </w:r>
      <w:r w:rsidRPr="002F5F1C">
        <w:rPr>
          <w:rStyle w:val="FootnoteReference"/>
          <w:lang w:eastAsia="en-AU"/>
        </w:rPr>
        <w:footnoteReference w:id="74"/>
      </w:r>
      <w:r w:rsidRPr="002F5F1C">
        <w:rPr>
          <w:lang w:eastAsia="en-AU"/>
        </w:rPr>
        <w:t xml:space="preserve"> allowed the continuance of the White Australia Policy, established at Federation to exclude immigrants based on race.</w:t>
      </w:r>
      <w:r w:rsidRPr="002F5F1C">
        <w:rPr>
          <w:rStyle w:val="FootnoteReference"/>
          <w:lang w:eastAsia="en-AU"/>
        </w:rPr>
        <w:footnoteReference w:id="75"/>
      </w:r>
      <w:r w:rsidRPr="002F5F1C">
        <w:rPr>
          <w:lang w:eastAsia="en-AU"/>
        </w:rPr>
        <w:t xml:space="preserve">  </w:t>
      </w:r>
    </w:p>
    <w:p w14:paraId="1E09FA90" w14:textId="4648EE53" w:rsidR="0049067F" w:rsidRPr="002F5F1C" w:rsidRDefault="0049067F" w:rsidP="008D7807">
      <w:pPr>
        <w:spacing w:line="480" w:lineRule="auto"/>
        <w:ind w:firstLine="720"/>
        <w:jc w:val="both"/>
        <w:rPr>
          <w:i/>
          <w:iCs/>
        </w:rPr>
      </w:pPr>
      <w:r w:rsidRPr="002F5F1C">
        <w:rPr>
          <w:lang w:eastAsia="en-AU"/>
        </w:rPr>
        <w:t>Further, formal citizenship did not confer membership of the Australian community, and naturalised citizens were expected to conform to Australian values and culture.</w:t>
      </w:r>
      <w:r w:rsidRPr="002F5F1C">
        <w:rPr>
          <w:rStyle w:val="FootnoteReference"/>
          <w:lang w:eastAsia="en-AU"/>
        </w:rPr>
        <w:footnoteReference w:id="76"/>
      </w:r>
      <w:r w:rsidRPr="002F5F1C">
        <w:rPr>
          <w:lang w:eastAsia="en-AU"/>
        </w:rPr>
        <w:t xml:space="preserve"> As Arthur </w:t>
      </w:r>
      <w:proofErr w:type="spellStart"/>
      <w:r w:rsidRPr="002F5F1C">
        <w:rPr>
          <w:lang w:eastAsia="en-AU"/>
        </w:rPr>
        <w:t>Calwell</w:t>
      </w:r>
      <w:proofErr w:type="spellEnd"/>
      <w:r w:rsidRPr="002F5F1C">
        <w:rPr>
          <w:lang w:eastAsia="en-AU"/>
        </w:rPr>
        <w:t>, then Minister for Immigration, commented in 1949, such activity would encourage persons to become Australian citizens in ‘a full sense’, beyond legal status.</w:t>
      </w:r>
      <w:r w:rsidRPr="002F5F1C">
        <w:rPr>
          <w:rStyle w:val="FootnoteReference"/>
          <w:lang w:eastAsia="en-AU"/>
        </w:rPr>
        <w:footnoteReference w:id="77"/>
      </w:r>
      <w:r w:rsidRPr="002F5F1C">
        <w:rPr>
          <w:lang w:eastAsia="en-AU"/>
        </w:rPr>
        <w:t xml:space="preserve"> This culture continued to be distinctly Anglo-Celtic, and </w:t>
      </w:r>
      <w:r w:rsidRPr="002F5F1C">
        <w:t xml:space="preserve">the creation of Australian citizenship did not change this position. Indeed, there was considerable reticence towards any change at all. </w:t>
      </w:r>
      <w:proofErr w:type="spellStart"/>
      <w:r w:rsidRPr="002F5F1C">
        <w:t>Calwell’s</w:t>
      </w:r>
      <w:proofErr w:type="spellEnd"/>
      <w:r w:rsidRPr="002F5F1C">
        <w:t xml:space="preserve"> 1945 proposal to create Australian citizenship ‘around which nationalist settlement could coalesce’ was not taken up.</w:t>
      </w:r>
      <w:r w:rsidRPr="002F5F1C">
        <w:rPr>
          <w:rStyle w:val="FootnoteReference"/>
        </w:rPr>
        <w:footnoteReference w:id="78"/>
      </w:r>
      <w:r w:rsidRPr="002F5F1C">
        <w:t xml:space="preserve"> Further, the eventual codification of citizenship laws was the result of pressure from the British Conference, rather than an interest in creating an identity distinct from Britain.</w:t>
      </w:r>
      <w:r w:rsidRPr="002F5F1C">
        <w:rPr>
          <w:rStyle w:val="FootnoteReference"/>
        </w:rPr>
        <w:footnoteReference w:id="79"/>
      </w:r>
      <w:r w:rsidRPr="002F5F1C">
        <w:t xml:space="preserve"> Emphasis was placed on </w:t>
      </w:r>
      <w:r w:rsidRPr="002F5F1C">
        <w:rPr>
          <w:lang w:val="en-GB"/>
        </w:rPr>
        <w:t>maintaining Australia’s</w:t>
      </w:r>
      <w:r w:rsidRPr="002F5F1C">
        <w:t xml:space="preserve"> ‘British stock’.</w:t>
      </w:r>
      <w:r w:rsidRPr="002F5F1C">
        <w:rPr>
          <w:vertAlign w:val="superscript"/>
          <w:lang w:val="en-GB"/>
        </w:rPr>
        <w:footnoteReference w:id="80"/>
      </w:r>
      <w:r w:rsidRPr="002F5F1C">
        <w:t xml:space="preserve"> The relationship between British nationality and a distinct Australian one was made clear in debates, </w:t>
      </w:r>
      <w:proofErr w:type="spellStart"/>
      <w:r w:rsidRPr="002F5F1C">
        <w:t>Calwell</w:t>
      </w:r>
      <w:proofErr w:type="spellEnd"/>
      <w:r w:rsidRPr="002F5F1C">
        <w:t xml:space="preserve"> </w:t>
      </w:r>
      <w:r w:rsidR="00115B34">
        <w:t>noting tha</w:t>
      </w:r>
      <w:r w:rsidR="008D7807">
        <w:t xml:space="preserve">t codification would not make an Australian </w:t>
      </w:r>
      <w:r w:rsidR="008D7807">
        <w:rPr>
          <w:i/>
          <w:iCs/>
        </w:rPr>
        <w:t>‘</w:t>
      </w:r>
      <w:r w:rsidRPr="002F5F1C">
        <w:rPr>
          <w:i/>
          <w:iCs/>
        </w:rPr>
        <w:t>any less a British subject</w:t>
      </w:r>
      <w:r w:rsidR="008D7807">
        <w:rPr>
          <w:i/>
          <w:iCs/>
        </w:rPr>
        <w:t>’</w:t>
      </w:r>
      <w:r w:rsidR="008D7807">
        <w:t>.</w:t>
      </w:r>
      <w:r w:rsidRPr="002F5F1C">
        <w:rPr>
          <w:rStyle w:val="FootnoteReference"/>
        </w:rPr>
        <w:footnoteReference w:id="81"/>
      </w:r>
    </w:p>
    <w:p w14:paraId="7FDE306A" w14:textId="77777777" w:rsidR="0049067F" w:rsidRPr="002F5F1C" w:rsidRDefault="0049067F" w:rsidP="0049067F">
      <w:pPr>
        <w:spacing w:line="480" w:lineRule="auto"/>
        <w:jc w:val="both"/>
      </w:pPr>
      <w:r w:rsidRPr="002F5F1C">
        <w:t xml:space="preserve">As such, there was no substantive change in the position of British nationals. Similarly, the legislation </w:t>
      </w:r>
      <w:r w:rsidRPr="002F5F1C">
        <w:rPr>
          <w:iCs/>
          <w:lang w:eastAsia="en-AU"/>
        </w:rPr>
        <w:t>continued to confer British subjecthood status, equivalent to Australian membership. The creation of a class of ‘supranationals’ – a faux dual status, whereby one could be both a British subject and an Australian citizen</w:t>
      </w:r>
      <w:r w:rsidRPr="002F5F1C">
        <w:t xml:space="preserve"> – is emblematic of the dual identities of </w:t>
      </w:r>
      <w:r w:rsidRPr="002F5F1C">
        <w:lastRenderedPageBreak/>
        <w:t>Australia at the time as both Australian and British. The only difference between British subjects and this new citizenship was the rights it conferred: movement, permanent residence and return.</w:t>
      </w:r>
      <w:r w:rsidRPr="002F5F1C">
        <w:rPr>
          <w:rStyle w:val="FootnoteReference"/>
        </w:rPr>
        <w:footnoteReference w:id="82"/>
      </w:r>
      <w:r w:rsidRPr="002F5F1C">
        <w:t xml:space="preserve"> The formal status of British subjecthood thus continued, along with a British conception of Australian identity. Australian nationality existed, but was empty in meaning.</w:t>
      </w:r>
      <w:r w:rsidRPr="002F5F1C">
        <w:rPr>
          <w:rStyle w:val="FootnoteReference"/>
        </w:rPr>
        <w:footnoteReference w:id="83"/>
      </w:r>
      <w:r w:rsidRPr="002F5F1C">
        <w:t xml:space="preserve"> Rather, the status was used to exclude persons of colour from membership. Policy also indicated the equivalency of the United Kingdom with an Australian identity. The 1954 census divided nationality into ‘British’ (either born in Australia or born elsewhere) and ‘non-British’, despite there being an Australian citizenship.</w:t>
      </w:r>
      <w:r w:rsidRPr="002F5F1C">
        <w:rPr>
          <w:rStyle w:val="FootnoteReference"/>
        </w:rPr>
        <w:footnoteReference w:id="84"/>
      </w:r>
      <w:r w:rsidRPr="002F5F1C">
        <w:t xml:space="preserve"> In response to complaints that Australians must mark themselves as British, the Department of Immigration Secretary made representations to the effect that there was no real separate Australian nationality from that of the United Kingdom.</w:t>
      </w:r>
      <w:r w:rsidRPr="002F5F1C">
        <w:rPr>
          <w:rStyle w:val="FootnoteReference"/>
        </w:rPr>
        <w:footnoteReference w:id="85"/>
      </w:r>
      <w:r w:rsidRPr="002F5F1C">
        <w:t xml:space="preserve"> </w:t>
      </w:r>
    </w:p>
    <w:p w14:paraId="09F44500" w14:textId="77777777" w:rsidR="0049067F" w:rsidRPr="002F5F1C" w:rsidRDefault="0049067F" w:rsidP="0049067F">
      <w:pPr>
        <w:spacing w:line="480" w:lineRule="auto"/>
        <w:ind w:firstLine="720"/>
        <w:jc w:val="both"/>
        <w:rPr>
          <w:lang w:eastAsia="en-AU"/>
        </w:rPr>
      </w:pPr>
      <w:r w:rsidRPr="002F5F1C">
        <w:rPr>
          <w:lang w:eastAsia="en-AU"/>
        </w:rPr>
        <w:t>Furthermore, this conception of membership obfuscated the content of the formal status.</w:t>
      </w:r>
      <w:r w:rsidRPr="002F5F1C">
        <w:rPr>
          <w:rStyle w:val="FootnoteReference"/>
          <w:lang w:eastAsia="en-AU"/>
        </w:rPr>
        <w:footnoteReference w:id="86"/>
      </w:r>
      <w:r w:rsidRPr="002F5F1C">
        <w:rPr>
          <w:lang w:eastAsia="en-AU"/>
        </w:rPr>
        <w:t xml:space="preserve"> Davidson argues that the focus of citizenship on conformity to an existing identity prevented the development of a rights-based notion of citizenship.</w:t>
      </w:r>
      <w:r w:rsidRPr="002F5F1C">
        <w:rPr>
          <w:rStyle w:val="FootnoteReference"/>
          <w:lang w:eastAsia="en-AU"/>
        </w:rPr>
        <w:footnoteReference w:id="87"/>
      </w:r>
      <w:r w:rsidRPr="002F5F1C">
        <w:rPr>
          <w:lang w:eastAsia="en-AU"/>
        </w:rPr>
        <w:t xml:space="preserve"> Non-British migrants were expected to adopt a British identity. It was policy, for example, to mix non-British migrants with British migrants to ensure the former’s assimilation.</w:t>
      </w:r>
      <w:r w:rsidRPr="002F5F1C">
        <w:rPr>
          <w:rStyle w:val="FootnoteReference"/>
          <w:lang w:eastAsia="en-AU"/>
        </w:rPr>
        <w:footnoteReference w:id="88"/>
      </w:r>
      <w:r w:rsidRPr="002F5F1C">
        <w:rPr>
          <w:lang w:eastAsia="en-AU"/>
        </w:rPr>
        <w:t xml:space="preserve"> Similarly, citizenship education campaigns were aimed at non-British migrants.</w:t>
      </w:r>
      <w:r w:rsidRPr="002F5F1C">
        <w:rPr>
          <w:rStyle w:val="FootnoteReference"/>
          <w:lang w:eastAsia="en-AU"/>
        </w:rPr>
        <w:footnoteReference w:id="89"/>
      </w:r>
      <w:r w:rsidRPr="002F5F1C">
        <w:rPr>
          <w:lang w:eastAsia="en-AU"/>
        </w:rPr>
        <w:t xml:space="preserve"> The separation of membership and rights is particularly visible in the treatment of Aboriginal and Torres Strait Islander peoples.</w:t>
      </w:r>
      <w:r w:rsidRPr="002F5F1C">
        <w:rPr>
          <w:rStyle w:val="FootnoteReference"/>
          <w:lang w:eastAsia="en-AU"/>
        </w:rPr>
        <w:footnoteReference w:id="90"/>
      </w:r>
      <w:r w:rsidRPr="002F5F1C">
        <w:rPr>
          <w:lang w:eastAsia="en-AU"/>
        </w:rPr>
        <w:t xml:space="preserve"> </w:t>
      </w:r>
      <w:r w:rsidRPr="002F5F1C">
        <w:rPr>
          <w:lang w:eastAsia="en-AU"/>
        </w:rPr>
        <w:lastRenderedPageBreak/>
        <w:t>Although formally citizens under the Act,</w:t>
      </w:r>
      <w:r w:rsidRPr="002F5F1C">
        <w:rPr>
          <w:rStyle w:val="FootnoteReference"/>
          <w:lang w:eastAsia="en-AU"/>
        </w:rPr>
        <w:footnoteReference w:id="91"/>
      </w:r>
      <w:r w:rsidRPr="002F5F1C">
        <w:rPr>
          <w:lang w:eastAsia="en-AU"/>
        </w:rPr>
        <w:t xml:space="preserve"> Indigenous persons were not considered members of the community, nor did they have access to consequential rights.</w:t>
      </w:r>
      <w:r w:rsidRPr="002F5F1C">
        <w:rPr>
          <w:rStyle w:val="FootnoteReference"/>
          <w:lang w:eastAsia="en-AU"/>
        </w:rPr>
        <w:footnoteReference w:id="92"/>
      </w:r>
      <w:r w:rsidRPr="002F5F1C">
        <w:rPr>
          <w:lang w:eastAsia="en-AU"/>
        </w:rPr>
        <w:t xml:space="preserve"> Until the 1960s, for example, Aboriginal and Torres Strait Islander peoples could not vote,</w:t>
      </w:r>
      <w:r w:rsidRPr="002F5F1C">
        <w:rPr>
          <w:rStyle w:val="FootnoteReference"/>
          <w:lang w:eastAsia="en-AU"/>
        </w:rPr>
        <w:t xml:space="preserve"> </w:t>
      </w:r>
      <w:r w:rsidRPr="002F5F1C">
        <w:rPr>
          <w:rStyle w:val="FootnoteReference"/>
          <w:lang w:eastAsia="en-AU"/>
        </w:rPr>
        <w:footnoteReference w:id="93"/>
      </w:r>
      <w:r w:rsidRPr="002F5F1C">
        <w:rPr>
          <w:lang w:eastAsia="en-AU"/>
        </w:rPr>
        <w:t xml:space="preserve"> and their movement was heavily restricted.</w:t>
      </w:r>
      <w:r w:rsidRPr="002F5F1C">
        <w:rPr>
          <w:rStyle w:val="FootnoteReference"/>
          <w:lang w:eastAsia="en-AU"/>
        </w:rPr>
        <w:footnoteReference w:id="94"/>
      </w:r>
    </w:p>
    <w:p w14:paraId="7B07D974" w14:textId="77777777" w:rsidR="0049067F" w:rsidRPr="002F5F1C" w:rsidRDefault="0049067F" w:rsidP="0049067F">
      <w:pPr>
        <w:spacing w:line="480" w:lineRule="auto"/>
        <w:ind w:firstLine="720"/>
        <w:jc w:val="both"/>
        <w:rPr>
          <w:lang w:eastAsia="en-AU"/>
        </w:rPr>
      </w:pPr>
      <w:r w:rsidRPr="002F5F1C">
        <w:rPr>
          <w:lang w:eastAsia="en-AU"/>
        </w:rPr>
        <w:t>From the 1970s, Australian identity began to move away from a racial focus. The coming to power of the Whitlam government in 1972 had brought a more inclusive attitude towards immigrants.</w:t>
      </w:r>
      <w:r w:rsidRPr="002F5F1C">
        <w:rPr>
          <w:rStyle w:val="FootnoteReference"/>
          <w:lang w:eastAsia="en-AU"/>
        </w:rPr>
        <w:footnoteReference w:id="95"/>
      </w:r>
      <w:r w:rsidRPr="002F5F1C">
        <w:rPr>
          <w:lang w:eastAsia="en-AU"/>
        </w:rPr>
        <w:t xml:space="preserve"> Multiculturalism rather than assimilation became the dominant policy,</w:t>
      </w:r>
      <w:r w:rsidRPr="002F5F1C">
        <w:rPr>
          <w:rStyle w:val="FootnoteReference"/>
          <w:lang w:eastAsia="en-AU"/>
        </w:rPr>
        <w:footnoteReference w:id="96"/>
      </w:r>
      <w:r w:rsidRPr="002F5F1C">
        <w:rPr>
          <w:lang w:eastAsia="en-AU"/>
        </w:rPr>
        <w:t xml:space="preserve"> and as such, social and cultural rights did not depend upon nationality.</w:t>
      </w:r>
      <w:r w:rsidRPr="002F5F1C">
        <w:rPr>
          <w:rStyle w:val="FootnoteReference"/>
          <w:lang w:eastAsia="en-AU"/>
        </w:rPr>
        <w:footnoteReference w:id="97"/>
      </w:r>
      <w:r w:rsidRPr="002F5F1C">
        <w:rPr>
          <w:lang w:eastAsia="en-AU"/>
        </w:rPr>
        <w:t xml:space="preserve"> As Chesterman and Galligan suggest, however, multiculturalism did not aid the articulation of citizenship.</w:t>
      </w:r>
      <w:r w:rsidRPr="002F5F1C">
        <w:rPr>
          <w:rStyle w:val="FootnoteReference"/>
          <w:lang w:eastAsia="en-AU"/>
        </w:rPr>
        <w:footnoteReference w:id="98"/>
      </w:r>
      <w:r w:rsidRPr="002F5F1C">
        <w:rPr>
          <w:lang w:eastAsia="en-AU"/>
        </w:rPr>
        <w:t xml:space="preserve"> Citizenship requires active identification of shared norms beyond passive tolerance,</w:t>
      </w:r>
      <w:r w:rsidRPr="002F5F1C">
        <w:rPr>
          <w:rStyle w:val="FootnoteReference"/>
          <w:lang w:eastAsia="en-AU"/>
        </w:rPr>
        <w:footnoteReference w:id="99"/>
      </w:r>
      <w:r w:rsidRPr="002F5F1C">
        <w:rPr>
          <w:lang w:eastAsia="en-AU"/>
        </w:rPr>
        <w:t xml:space="preserve"> and so the lack of clarity surrounding nationality persisted, albeit in a manner with less emphasis on whiteness. </w:t>
      </w:r>
    </w:p>
    <w:p w14:paraId="772E29C7" w14:textId="77777777" w:rsidR="0049067F" w:rsidRPr="002F5F1C" w:rsidRDefault="0049067F" w:rsidP="0049067F">
      <w:pPr>
        <w:spacing w:line="480" w:lineRule="auto"/>
        <w:ind w:firstLine="720"/>
        <w:jc w:val="both"/>
      </w:pPr>
      <w:r w:rsidRPr="002F5F1C">
        <w:rPr>
          <w:lang w:eastAsia="en-AU"/>
        </w:rPr>
        <w:t>On the other hand, these changes brought with them the beginnings of a distinct Australian identity, which in turn would give way to a clearer understanding of citizenship. The move away from a British-focused national identity allowed Australian nationalism to grow.</w:t>
      </w:r>
      <w:r w:rsidRPr="002F5F1C">
        <w:rPr>
          <w:rStyle w:val="FootnoteReference"/>
          <w:lang w:eastAsia="en-AU"/>
        </w:rPr>
        <w:footnoteReference w:id="100"/>
      </w:r>
      <w:r w:rsidRPr="002F5F1C">
        <w:rPr>
          <w:lang w:eastAsia="en-AU"/>
        </w:rPr>
        <w:t xml:space="preserve"> This, for example, is reflected in the shift in the language of membership; in</w:t>
      </w:r>
      <w:r w:rsidRPr="002F5F1C">
        <w:t xml:space="preserve"> 1969 Australians citizens ceased to </w:t>
      </w:r>
      <w:r w:rsidRPr="002F5F1C">
        <w:rPr>
          <w:i/>
          <w:iCs/>
        </w:rPr>
        <w:t>be</w:t>
      </w:r>
      <w:r w:rsidRPr="002F5F1C">
        <w:t xml:space="preserve"> British subjects, rather retaining merely the </w:t>
      </w:r>
      <w:r w:rsidRPr="002F5F1C">
        <w:rPr>
          <w:i/>
          <w:iCs/>
        </w:rPr>
        <w:t>status of</w:t>
      </w:r>
      <w:r w:rsidRPr="002F5F1C">
        <w:t xml:space="preserve"> British subjects.</w:t>
      </w:r>
      <w:r w:rsidRPr="002F5F1C">
        <w:rPr>
          <w:rStyle w:val="FootnoteReference"/>
        </w:rPr>
        <w:footnoteReference w:id="101"/>
      </w:r>
      <w:r w:rsidRPr="002F5F1C">
        <w:t xml:space="preserve"> Furthermore, t</w:t>
      </w:r>
      <w:r w:rsidRPr="002F5F1C">
        <w:rPr>
          <w:lang w:eastAsia="en-AU"/>
        </w:rPr>
        <w:t>his shift created an environment where Australian citizenship could be better conceptualised in its own capacity</w:t>
      </w:r>
      <w:r w:rsidRPr="002F5F1C">
        <w:t>.</w:t>
      </w:r>
      <w:r w:rsidRPr="002F5F1C">
        <w:rPr>
          <w:lang w:eastAsia="en-AU"/>
        </w:rPr>
        <w:t xml:space="preserve"> In 1973, the </w:t>
      </w:r>
      <w:r w:rsidRPr="002F5F1C">
        <w:rPr>
          <w:i/>
          <w:iCs/>
          <w:lang w:eastAsia="en-AU"/>
        </w:rPr>
        <w:t>Royal Style and Titles Act</w:t>
      </w:r>
      <w:r w:rsidRPr="002F5F1C">
        <w:rPr>
          <w:rStyle w:val="FootnoteReference"/>
          <w:lang w:eastAsia="en-AU"/>
        </w:rPr>
        <w:footnoteReference w:id="102"/>
      </w:r>
      <w:r w:rsidRPr="002F5F1C">
        <w:rPr>
          <w:i/>
          <w:iCs/>
          <w:lang w:eastAsia="en-AU"/>
        </w:rPr>
        <w:t xml:space="preserve"> </w:t>
      </w:r>
      <w:r w:rsidRPr="002F5F1C">
        <w:rPr>
          <w:lang w:eastAsia="en-AU"/>
        </w:rPr>
        <w:t xml:space="preserve">was </w:t>
      </w:r>
      <w:r w:rsidRPr="002F5F1C">
        <w:rPr>
          <w:lang w:eastAsia="en-AU"/>
        </w:rPr>
        <w:lastRenderedPageBreak/>
        <w:t>passed, removing all references to the United Kingdom from the title of the Crown.</w:t>
      </w:r>
      <w:r w:rsidRPr="002F5F1C">
        <w:rPr>
          <w:rStyle w:val="FootnoteReference"/>
          <w:lang w:eastAsia="en-AU"/>
        </w:rPr>
        <w:footnoteReference w:id="103"/>
      </w:r>
      <w:r w:rsidRPr="002F5F1C">
        <w:rPr>
          <w:lang w:eastAsia="en-AU"/>
        </w:rPr>
        <w:t xml:space="preserve"> At the federal level, allegiance was to the Queen of Australia. As such, the Australian identity was </w:t>
      </w:r>
      <w:r w:rsidRPr="002F5F1C">
        <w:rPr>
          <w:i/>
          <w:iCs/>
          <w:lang w:eastAsia="en-AU"/>
        </w:rPr>
        <w:t>formally</w:t>
      </w:r>
      <w:r w:rsidRPr="002F5F1C">
        <w:rPr>
          <w:lang w:eastAsia="en-AU"/>
        </w:rPr>
        <w:t xml:space="preserve"> distinguished from Britain,</w:t>
      </w:r>
      <w:r w:rsidRPr="002F5F1C">
        <w:rPr>
          <w:rStyle w:val="FootnoteReference"/>
          <w:lang w:eastAsia="en-AU"/>
        </w:rPr>
        <w:footnoteReference w:id="104"/>
      </w:r>
      <w:r w:rsidRPr="002F5F1C">
        <w:rPr>
          <w:lang w:eastAsia="en-AU"/>
        </w:rPr>
        <w:t xml:space="preserve"> at least federally.</w:t>
      </w:r>
      <w:r w:rsidRPr="002F5F1C">
        <w:rPr>
          <w:rStyle w:val="FootnoteReference"/>
          <w:lang w:eastAsia="en-AU"/>
        </w:rPr>
        <w:footnoteReference w:id="105"/>
      </w:r>
      <w:r w:rsidRPr="002F5F1C">
        <w:rPr>
          <w:lang w:eastAsia="en-AU"/>
        </w:rPr>
        <w:t xml:space="preserve"> The loosening of the connection between Australian identity and race made way for the development of a substantive notion of citizenship that could coexist with formal status. This continued with </w:t>
      </w:r>
      <w:r w:rsidRPr="002F5F1C">
        <w:t>several indications of Australia’s legal independence</w:t>
      </w:r>
      <w:r w:rsidRPr="002F5F1C">
        <w:rPr>
          <w:lang w:eastAsia="en-AU"/>
        </w:rPr>
        <w:t xml:space="preserve">. </w:t>
      </w:r>
      <w:r w:rsidRPr="002F5F1C">
        <w:t xml:space="preserve">The United Kingdom, in </w:t>
      </w:r>
      <w:r w:rsidRPr="002F5F1C">
        <w:rPr>
          <w:i/>
          <w:iCs/>
        </w:rPr>
        <w:t>R v Foreign Secretary</w:t>
      </w:r>
      <w:r w:rsidRPr="002F5F1C">
        <w:t>,</w:t>
      </w:r>
      <w:r w:rsidRPr="002F5F1C">
        <w:rPr>
          <w:rStyle w:val="FootnoteReference"/>
        </w:rPr>
        <w:footnoteReference w:id="106"/>
      </w:r>
      <w:r w:rsidRPr="002F5F1C">
        <w:t xml:space="preserve"> had noted that each dominion was ‘entirely independent’.</w:t>
      </w:r>
      <w:r w:rsidRPr="002F5F1C">
        <w:rPr>
          <w:rStyle w:val="FootnoteReference"/>
        </w:rPr>
        <w:footnoteReference w:id="107"/>
      </w:r>
      <w:r w:rsidRPr="002F5F1C">
        <w:t xml:space="preserve"> 1984 amendments to the Citizenship Act removed British subjecthood status from formal Australian citizenship.</w:t>
      </w:r>
      <w:r w:rsidRPr="002F5F1C">
        <w:rPr>
          <w:rStyle w:val="FootnoteReference"/>
        </w:rPr>
        <w:footnoteReference w:id="108"/>
      </w:r>
      <w:r w:rsidRPr="002F5F1C">
        <w:t xml:space="preserve"> Finally, the </w:t>
      </w:r>
      <w:r w:rsidRPr="002F5F1C">
        <w:rPr>
          <w:i/>
          <w:iCs/>
          <w:lang w:eastAsia="en-AU"/>
        </w:rPr>
        <w:t>Australia Acts</w:t>
      </w:r>
      <w:r w:rsidRPr="002F5F1C">
        <w:rPr>
          <w:lang w:eastAsia="en-AU"/>
        </w:rPr>
        <w:t xml:space="preserve"> of 1986</w:t>
      </w:r>
      <w:r w:rsidRPr="002F5F1C">
        <w:rPr>
          <w:rStyle w:val="FootnoteReference"/>
          <w:lang w:eastAsia="en-AU"/>
        </w:rPr>
        <w:footnoteReference w:id="109"/>
      </w:r>
      <w:r w:rsidRPr="002F5F1C">
        <w:rPr>
          <w:lang w:eastAsia="en-AU"/>
        </w:rPr>
        <w:t xml:space="preserve"> </w:t>
      </w:r>
      <w:r w:rsidRPr="002F5F1C">
        <w:t>marked Australia’s formal separation from the United Kingdom.</w:t>
      </w:r>
      <w:r w:rsidRPr="002F5F1C">
        <w:rPr>
          <w:rStyle w:val="FootnoteReference"/>
        </w:rPr>
        <w:footnoteReference w:id="110"/>
      </w:r>
      <w:r w:rsidRPr="002F5F1C">
        <w:t xml:space="preserve"> </w:t>
      </w:r>
    </w:p>
    <w:p w14:paraId="1E75DDE2" w14:textId="7D9167B9" w:rsidR="00D426FB" w:rsidRDefault="0049067F" w:rsidP="00D660A3">
      <w:pPr>
        <w:spacing w:line="480" w:lineRule="auto"/>
        <w:ind w:firstLine="720"/>
        <w:jc w:val="both"/>
        <w:textAlignment w:val="center"/>
      </w:pPr>
      <w:r w:rsidRPr="002F5F1C">
        <w:t xml:space="preserve">The formal status of citizenship also shifted in 1986, when the </w:t>
      </w:r>
      <w:r w:rsidRPr="002F5F1C">
        <w:rPr>
          <w:i/>
          <w:iCs/>
          <w:lang w:eastAsia="en-AU"/>
        </w:rPr>
        <w:t xml:space="preserve">Australian Citizenship Act </w:t>
      </w:r>
      <w:r w:rsidRPr="002F5F1C">
        <w:rPr>
          <w:lang w:eastAsia="en-AU"/>
        </w:rPr>
        <w:t>was amended to confer citizenship at birth only to those born to a parent with citizenship or permanent residency.</w:t>
      </w:r>
      <w:r w:rsidRPr="002F5F1C">
        <w:rPr>
          <w:vertAlign w:val="superscript"/>
          <w:lang w:eastAsia="en-AU"/>
        </w:rPr>
        <w:footnoteReference w:id="111"/>
      </w:r>
      <w:r w:rsidRPr="002F5F1C">
        <w:rPr>
          <w:lang w:eastAsia="en-AU"/>
        </w:rPr>
        <w:t xml:space="preserve"> It was no longer sufficient to be born on Australian territory to be part of the community. The decision to alter citizenship in this regard followed, and was prompted by, the high-profile case of </w:t>
      </w:r>
      <w:r w:rsidRPr="002F5F1C">
        <w:rPr>
          <w:i/>
          <w:lang w:eastAsia="en-AU"/>
        </w:rPr>
        <w:t>Kioa v West</w:t>
      </w:r>
      <w:r w:rsidRPr="002F5F1C">
        <w:rPr>
          <w:iCs/>
          <w:lang w:eastAsia="en-AU"/>
        </w:rPr>
        <w:t>.</w:t>
      </w:r>
      <w:r w:rsidRPr="002F5F1C">
        <w:rPr>
          <w:rStyle w:val="FootnoteReference"/>
          <w:iCs/>
          <w:lang w:eastAsia="en-AU"/>
        </w:rPr>
        <w:footnoteReference w:id="112"/>
      </w:r>
      <w:r w:rsidRPr="002F5F1C">
        <w:rPr>
          <w:iCs/>
          <w:lang w:eastAsia="en-AU"/>
        </w:rPr>
        <w:t xml:space="preserve"> This case in part considered whether the citizen status of the daughter of persons unlawfully in Australia entitled her to procedural fairness.</w:t>
      </w:r>
      <w:r w:rsidRPr="002F5F1C">
        <w:rPr>
          <w:rStyle w:val="FootnoteReference"/>
          <w:iCs/>
          <w:lang w:eastAsia="en-AU"/>
        </w:rPr>
        <w:footnoteReference w:id="113"/>
      </w:r>
      <w:r w:rsidRPr="002F5F1C">
        <w:rPr>
          <w:iCs/>
          <w:lang w:eastAsia="en-AU"/>
        </w:rPr>
        <w:t xml:space="preserve"> Although the argument was not accepted,</w:t>
      </w:r>
      <w:r w:rsidRPr="002F5F1C">
        <w:rPr>
          <w:rStyle w:val="FootnoteReference"/>
          <w:iCs/>
          <w:lang w:eastAsia="en-AU"/>
        </w:rPr>
        <w:footnoteReference w:id="114"/>
      </w:r>
      <w:r w:rsidRPr="002F5F1C">
        <w:rPr>
          <w:iCs/>
          <w:lang w:eastAsia="en-AU"/>
        </w:rPr>
        <w:t xml:space="preserve"> the law was changed to prevent situations of persons in Australia unlawfully </w:t>
      </w:r>
      <w:r w:rsidRPr="002F5F1C">
        <w:rPr>
          <w:lang w:eastAsia="en-AU"/>
        </w:rPr>
        <w:t>using the birth of a child as the basis for a claim to residency.</w:t>
      </w:r>
      <w:r w:rsidRPr="002F5F1C">
        <w:rPr>
          <w:vertAlign w:val="superscript"/>
          <w:lang w:eastAsia="en-AU"/>
        </w:rPr>
        <w:footnoteReference w:id="115"/>
      </w:r>
      <w:r w:rsidRPr="002F5F1C">
        <w:rPr>
          <w:lang w:eastAsia="en-AU"/>
        </w:rPr>
        <w:t xml:space="preserve"> This change reflects Parliament’s continued interest in preventing undesirable </w:t>
      </w:r>
      <w:r w:rsidRPr="002F5F1C">
        <w:rPr>
          <w:lang w:eastAsia="en-AU"/>
        </w:rPr>
        <w:lastRenderedPageBreak/>
        <w:t>persons from membership. Birth in Australia was not enough to be part of its community formally nor in substance,</w:t>
      </w:r>
      <w:r w:rsidRPr="002F5F1C">
        <w:rPr>
          <w:rStyle w:val="FootnoteReference"/>
          <w:lang w:eastAsia="en-AU"/>
        </w:rPr>
        <w:footnoteReference w:id="116"/>
      </w:r>
      <w:r w:rsidRPr="002F5F1C">
        <w:rPr>
          <w:lang w:eastAsia="en-AU"/>
        </w:rPr>
        <w:t xml:space="preserve"> leading to greater cohesion between these two notions.</w:t>
      </w:r>
      <w:r w:rsidRPr="002F5F1C">
        <w:t xml:space="preserve"> The conceptualisation of citizenship had thus</w:t>
      </w:r>
      <w:r w:rsidR="00D660A3">
        <w:t>, finally,</w:t>
      </w:r>
      <w:r w:rsidRPr="002F5F1C">
        <w:t xml:space="preserve"> begun to solidify. </w:t>
      </w:r>
    </w:p>
    <w:p w14:paraId="4E451340" w14:textId="77777777" w:rsidR="009B45FC" w:rsidRDefault="009B45FC" w:rsidP="00D660A3">
      <w:pPr>
        <w:spacing w:line="480" w:lineRule="auto"/>
        <w:ind w:firstLine="720"/>
        <w:jc w:val="both"/>
        <w:textAlignment w:val="center"/>
      </w:pPr>
      <w:bookmarkStart w:id="9" w:name="_GoBack"/>
      <w:bookmarkEnd w:id="9"/>
    </w:p>
    <w:p w14:paraId="20D34307" w14:textId="554326C8" w:rsidR="00D660A3" w:rsidRDefault="00D660A3" w:rsidP="00D660A3">
      <w:pPr>
        <w:spacing w:line="480" w:lineRule="auto"/>
        <w:ind w:firstLine="720"/>
        <w:jc w:val="center"/>
        <w:textAlignment w:val="center"/>
        <w:rPr>
          <w:smallCaps/>
          <w:lang w:eastAsia="en-AU"/>
        </w:rPr>
      </w:pPr>
      <w:r w:rsidRPr="00D660A3">
        <w:rPr>
          <w:smallCaps/>
          <w:lang w:eastAsia="en-AU"/>
        </w:rPr>
        <w:t>IV Conclusion</w:t>
      </w:r>
    </w:p>
    <w:p w14:paraId="0C33B45B" w14:textId="10C16EB7" w:rsidR="00D660A3" w:rsidRDefault="002C1BA3" w:rsidP="002C1BA3">
      <w:pPr>
        <w:spacing w:line="480" w:lineRule="auto"/>
        <w:textAlignment w:val="center"/>
      </w:pPr>
      <w:r w:rsidRPr="002F5F1C">
        <w:t xml:space="preserve">The clash between formal and substantive understandings of citizenship </w:t>
      </w:r>
      <w:r w:rsidR="00115B34">
        <w:t>come as</w:t>
      </w:r>
      <w:r w:rsidRPr="002F5F1C">
        <w:t xml:space="preserve"> a consequence of Australia’s his</w:t>
      </w:r>
      <w:r w:rsidR="00115B34">
        <w:t>tory of exclusion based on race</w:t>
      </w:r>
      <w:r w:rsidRPr="002F5F1C">
        <w:t>.</w:t>
      </w:r>
      <w:r w:rsidR="00115B34">
        <w:t xml:space="preserve"> </w:t>
      </w:r>
      <w:r w:rsidR="00447E38">
        <w:t xml:space="preserve">From even prior to Federation, a </w:t>
      </w:r>
      <w:r w:rsidR="007667B3">
        <w:t xml:space="preserve">separate, Australian </w:t>
      </w:r>
      <w:r w:rsidR="00447E38">
        <w:t xml:space="preserve">sense of identity was built </w:t>
      </w:r>
      <w:r w:rsidR="007667B3">
        <w:t xml:space="preserve">from an understanding of Australia as </w:t>
      </w:r>
      <w:r w:rsidR="007667B3" w:rsidRPr="007667B3">
        <w:rPr>
          <w:i/>
          <w:iCs/>
        </w:rPr>
        <w:t>British</w:t>
      </w:r>
      <w:r w:rsidR="007667B3">
        <w:t xml:space="preserve">. Despite, and in many cases, because of, this </w:t>
      </w:r>
      <w:r w:rsidR="008C6CFF">
        <w:t>particular</w:t>
      </w:r>
      <w:r w:rsidR="007667B3">
        <w:t xml:space="preserve"> sense of identity, </w:t>
      </w:r>
      <w:r w:rsidR="007667B3" w:rsidRPr="007667B3">
        <w:rPr>
          <w:i/>
          <w:iCs/>
        </w:rPr>
        <w:t>formal</w:t>
      </w:r>
      <w:r w:rsidR="007667B3">
        <w:t xml:space="preserve"> citizenship, and the conditions of its conferral, was always at odds with the understanding of </w:t>
      </w:r>
      <w:r w:rsidR="008C6CFF">
        <w:t xml:space="preserve">who was an Australian. </w:t>
      </w:r>
      <w:r w:rsidR="008C6CFF">
        <w:t xml:space="preserve">This affected how the Constitution dealt with membership of </w:t>
      </w:r>
      <w:proofErr w:type="gramStart"/>
      <w:r w:rsidR="008C6CFF">
        <w:t>Australia, and</w:t>
      </w:r>
      <w:proofErr w:type="gramEnd"/>
      <w:r w:rsidR="008C6CFF">
        <w:t xml:space="preserve"> imbued Australian citizenship law and immigration policy for decades.</w:t>
      </w:r>
    </w:p>
    <w:p w14:paraId="67C112CF" w14:textId="74FB6F1B" w:rsidR="00F351FE" w:rsidRDefault="00F351FE">
      <w:r>
        <w:br w:type="page"/>
      </w:r>
    </w:p>
    <w:p w14:paraId="6CE24BD4" w14:textId="4BF0F43A" w:rsidR="00F351FE" w:rsidRPr="005D02CA" w:rsidRDefault="005D02CA" w:rsidP="006412B6">
      <w:pPr>
        <w:spacing w:line="480" w:lineRule="auto"/>
        <w:jc w:val="center"/>
        <w:textAlignment w:val="center"/>
        <w:rPr>
          <w:smallCaps/>
          <w:lang w:eastAsia="en-AU"/>
        </w:rPr>
      </w:pPr>
      <w:r>
        <w:rPr>
          <w:smallCaps/>
          <w:lang w:eastAsia="en-AU"/>
        </w:rPr>
        <w:lastRenderedPageBreak/>
        <w:t>B</w:t>
      </w:r>
      <w:r w:rsidR="00F351FE" w:rsidRPr="005D02CA">
        <w:rPr>
          <w:smallCaps/>
          <w:lang w:eastAsia="en-AU"/>
        </w:rPr>
        <w:t>ibliography</w:t>
      </w:r>
    </w:p>
    <w:p w14:paraId="408B70A1" w14:textId="77777777" w:rsidR="00FC458C" w:rsidRPr="005C10C5" w:rsidRDefault="00FC458C" w:rsidP="00FC458C">
      <w:pPr>
        <w:spacing w:after="120" w:line="480" w:lineRule="auto"/>
        <w:jc w:val="center"/>
        <w:outlineLvl w:val="0"/>
      </w:pPr>
      <w:proofErr w:type="gramStart"/>
      <w:r w:rsidRPr="005C10C5">
        <w:t>A</w:t>
      </w:r>
      <w:proofErr w:type="gramEnd"/>
      <w:r w:rsidRPr="005C10C5">
        <w:t xml:space="preserve"> </w:t>
      </w:r>
      <w:r w:rsidRPr="005C10C5">
        <w:rPr>
          <w:i/>
          <w:iCs/>
        </w:rPr>
        <w:t>Articles/Books/Reports</w:t>
      </w:r>
    </w:p>
    <w:p w14:paraId="406CA30F" w14:textId="77777777" w:rsidR="00FC458C" w:rsidRPr="005C10C5" w:rsidRDefault="00FC458C" w:rsidP="00FC458C">
      <w:pPr>
        <w:spacing w:after="120" w:line="480" w:lineRule="auto"/>
        <w:ind w:left="720" w:hanging="720"/>
        <w:outlineLvl w:val="0"/>
      </w:pPr>
      <w:proofErr w:type="spellStart"/>
      <w:r w:rsidRPr="005C10C5">
        <w:t>Arcioni</w:t>
      </w:r>
      <w:proofErr w:type="spellEnd"/>
      <w:r w:rsidRPr="005C10C5">
        <w:t>, Elisa, ‘Citizenship’ in Cheryl Saunders, Adrienne Stone (</w:t>
      </w:r>
      <w:proofErr w:type="spellStart"/>
      <w:r w:rsidRPr="005C10C5">
        <w:t>eds</w:t>
      </w:r>
      <w:proofErr w:type="spellEnd"/>
      <w:r w:rsidRPr="005C10C5">
        <w:t>), </w:t>
      </w:r>
      <w:r w:rsidRPr="005C10C5">
        <w:rPr>
          <w:i/>
          <w:iCs/>
        </w:rPr>
        <w:t>The Oxford Handbook of the Australian Constitution</w:t>
      </w:r>
      <w:r w:rsidRPr="005C10C5">
        <w:t xml:space="preserve"> (Oxford University Press, 2018)</w:t>
      </w:r>
    </w:p>
    <w:p w14:paraId="22B856BC" w14:textId="77777777" w:rsidR="00FC458C" w:rsidRPr="005C10C5" w:rsidRDefault="00FC458C" w:rsidP="00FC458C">
      <w:pPr>
        <w:spacing w:after="120" w:line="480" w:lineRule="auto"/>
        <w:ind w:left="720" w:hanging="720"/>
        <w:outlineLvl w:val="0"/>
      </w:pPr>
      <w:proofErr w:type="spellStart"/>
      <w:r w:rsidRPr="005C10C5">
        <w:t>Arcioni</w:t>
      </w:r>
      <w:proofErr w:type="spellEnd"/>
      <w:r w:rsidRPr="005C10C5">
        <w:t xml:space="preserve">, Elisa, ‘Tracing the ethno-cultural or racial identity of the Australian constitutional people’ (2015) 15(2) </w:t>
      </w:r>
      <w:r w:rsidRPr="005C10C5">
        <w:rPr>
          <w:i/>
          <w:iCs/>
        </w:rPr>
        <w:t>Oxford University Commonwealth Law Journal</w:t>
      </w:r>
      <w:r w:rsidRPr="005C10C5">
        <w:t xml:space="preserve"> 173</w:t>
      </w:r>
    </w:p>
    <w:p w14:paraId="14E42D70" w14:textId="77777777" w:rsidR="00FC458C" w:rsidRPr="005C10C5" w:rsidRDefault="00FC458C" w:rsidP="00FC458C">
      <w:pPr>
        <w:spacing w:after="120" w:line="480" w:lineRule="auto"/>
        <w:ind w:left="720" w:hanging="720"/>
        <w:outlineLvl w:val="0"/>
      </w:pPr>
      <w:r w:rsidRPr="005C10C5">
        <w:t xml:space="preserve"> Ballinger, Pamela, ‘Borders of the Nation, Borders of Citizenship: Italian Repatriation and the Redefinition of National Identity after World War II’ (2007) 49(3) </w:t>
      </w:r>
      <w:r w:rsidRPr="005C10C5">
        <w:rPr>
          <w:i/>
          <w:iCs/>
        </w:rPr>
        <w:t>Comparative Studies in Society and History</w:t>
      </w:r>
      <w:r w:rsidRPr="005C10C5">
        <w:t xml:space="preserve"> 713</w:t>
      </w:r>
    </w:p>
    <w:p w14:paraId="10AFCB93" w14:textId="77777777" w:rsidR="00FC458C" w:rsidRPr="005C10C5" w:rsidRDefault="00FC458C" w:rsidP="00FC458C">
      <w:pPr>
        <w:spacing w:after="120" w:line="480" w:lineRule="auto"/>
        <w:ind w:left="720" w:hanging="720"/>
        <w:outlineLvl w:val="0"/>
      </w:pPr>
      <w:r w:rsidRPr="005C10C5">
        <w:t xml:space="preserve"> </w:t>
      </w:r>
      <w:proofErr w:type="spellStart"/>
      <w:r w:rsidRPr="005C10C5">
        <w:t>Bauböck</w:t>
      </w:r>
      <w:proofErr w:type="spellEnd"/>
      <w:r w:rsidRPr="005C10C5">
        <w:t xml:space="preserve">, Rainer, </w:t>
      </w:r>
      <w:r w:rsidRPr="005C10C5">
        <w:rPr>
          <w:i/>
          <w:iCs/>
        </w:rPr>
        <w:t>Transnational Citizenship: Membership and Rights in International Migration</w:t>
      </w:r>
      <w:r w:rsidRPr="005C10C5">
        <w:t xml:space="preserve"> (Edward Elgar, 1994)</w:t>
      </w:r>
    </w:p>
    <w:p w14:paraId="43218E7C" w14:textId="77777777" w:rsidR="00FC458C" w:rsidRPr="005C10C5" w:rsidRDefault="00FC458C" w:rsidP="00FC458C">
      <w:pPr>
        <w:spacing w:after="120" w:line="480" w:lineRule="auto"/>
        <w:ind w:left="720" w:hanging="720"/>
        <w:outlineLvl w:val="0"/>
      </w:pPr>
      <w:r w:rsidRPr="005C10C5">
        <w:t>Bellamy, Richard and Antonino Palumbo (</w:t>
      </w:r>
      <w:proofErr w:type="spellStart"/>
      <w:r w:rsidRPr="005C10C5">
        <w:t>eds</w:t>
      </w:r>
      <w:proofErr w:type="spellEnd"/>
      <w:r w:rsidRPr="005C10C5">
        <w:t xml:space="preserve">), </w:t>
      </w:r>
      <w:r w:rsidRPr="005C10C5">
        <w:rPr>
          <w:i/>
          <w:iCs/>
        </w:rPr>
        <w:t>Citizenship</w:t>
      </w:r>
      <w:r w:rsidRPr="005C10C5">
        <w:t xml:space="preserve"> (Ashgate, 2010)</w:t>
      </w:r>
    </w:p>
    <w:p w14:paraId="7963FAD8" w14:textId="77777777" w:rsidR="00FC458C" w:rsidRPr="005C10C5" w:rsidRDefault="00FC458C" w:rsidP="00FC458C">
      <w:pPr>
        <w:spacing w:after="120" w:line="480" w:lineRule="auto"/>
        <w:ind w:left="720" w:hanging="720"/>
        <w:outlineLvl w:val="0"/>
      </w:pPr>
      <w:r w:rsidRPr="005C10C5">
        <w:t xml:space="preserve"> </w:t>
      </w:r>
      <w:proofErr w:type="spellStart"/>
      <w:r w:rsidRPr="005C10C5">
        <w:t>Blackshield</w:t>
      </w:r>
      <w:proofErr w:type="spellEnd"/>
      <w:r w:rsidRPr="005C10C5">
        <w:t xml:space="preserve">, Tony, ‘The Unfortunate Section Forty-Four’ (2018) 29(1) </w:t>
      </w:r>
      <w:r w:rsidRPr="005C10C5">
        <w:rPr>
          <w:i/>
          <w:iCs/>
        </w:rPr>
        <w:t>Public Law Review</w:t>
      </w:r>
      <w:r w:rsidRPr="005C10C5">
        <w:t xml:space="preserve"> 3</w:t>
      </w:r>
    </w:p>
    <w:p w14:paraId="0B9B1B78" w14:textId="77777777" w:rsidR="00FC458C" w:rsidRPr="005C10C5" w:rsidRDefault="00FC458C" w:rsidP="00FC458C">
      <w:pPr>
        <w:spacing w:after="120" w:line="480" w:lineRule="auto"/>
        <w:ind w:left="720" w:hanging="720"/>
        <w:outlineLvl w:val="0"/>
      </w:pPr>
      <w:r w:rsidRPr="005C10C5">
        <w:t>Boon-</w:t>
      </w:r>
      <w:proofErr w:type="spellStart"/>
      <w:r w:rsidRPr="005C10C5">
        <w:t>Kuo</w:t>
      </w:r>
      <w:proofErr w:type="spellEnd"/>
      <w:r w:rsidRPr="005C10C5">
        <w:t xml:space="preserve">, Louise, </w:t>
      </w:r>
      <w:r w:rsidRPr="005C10C5">
        <w:rPr>
          <w:i/>
          <w:iCs/>
        </w:rPr>
        <w:t>Policing Undocumented Migrants: Law, Violence and Responsibility</w:t>
      </w:r>
      <w:r w:rsidRPr="005C10C5">
        <w:t xml:space="preserve"> (Routledge, 2018)</w:t>
      </w:r>
    </w:p>
    <w:p w14:paraId="58798CC1" w14:textId="77777777" w:rsidR="00FC458C" w:rsidRPr="005C10C5" w:rsidRDefault="00FC458C" w:rsidP="00FC458C">
      <w:pPr>
        <w:spacing w:after="120" w:line="480" w:lineRule="auto"/>
        <w:ind w:left="720" w:hanging="720"/>
        <w:outlineLvl w:val="0"/>
      </w:pPr>
      <w:proofErr w:type="spellStart"/>
      <w:r w:rsidRPr="005C10C5">
        <w:t>Bosniak</w:t>
      </w:r>
      <w:proofErr w:type="spellEnd"/>
      <w:r w:rsidRPr="005C10C5">
        <w:t xml:space="preserve">, Linda, 'Universal Citizenship and the Problem of Alienage' (2000) 94 </w:t>
      </w:r>
      <w:proofErr w:type="spellStart"/>
      <w:r w:rsidRPr="005C10C5">
        <w:rPr>
          <w:i/>
          <w:iCs/>
        </w:rPr>
        <w:t>Northwestern</w:t>
      </w:r>
      <w:proofErr w:type="spellEnd"/>
      <w:r w:rsidRPr="005C10C5">
        <w:rPr>
          <w:i/>
          <w:iCs/>
        </w:rPr>
        <w:t xml:space="preserve"> University Law Review</w:t>
      </w:r>
      <w:r w:rsidRPr="005C10C5">
        <w:t xml:space="preserve"> 963</w:t>
      </w:r>
    </w:p>
    <w:p w14:paraId="4A19B0DD" w14:textId="77777777" w:rsidR="00FC458C" w:rsidRPr="005C10C5" w:rsidRDefault="00FC458C" w:rsidP="00FC458C">
      <w:pPr>
        <w:spacing w:after="120" w:line="480" w:lineRule="auto"/>
        <w:ind w:left="720" w:hanging="720"/>
        <w:outlineLvl w:val="0"/>
      </w:pPr>
      <w:r w:rsidRPr="005C10C5">
        <w:t xml:space="preserve"> </w:t>
      </w:r>
      <w:proofErr w:type="spellStart"/>
      <w:r w:rsidRPr="005C10C5">
        <w:t>Bosniak</w:t>
      </w:r>
      <w:proofErr w:type="spellEnd"/>
      <w:r w:rsidRPr="005C10C5">
        <w:t xml:space="preserve">, Linda, ‘Citizenship Denationalized’ (2000) </w:t>
      </w:r>
      <w:r w:rsidRPr="005C10C5">
        <w:rPr>
          <w:i/>
          <w:iCs/>
        </w:rPr>
        <w:t>Indiana Journal of Global Legal Studies</w:t>
      </w:r>
      <w:r w:rsidRPr="005C10C5">
        <w:t xml:space="preserve"> 447</w:t>
      </w:r>
    </w:p>
    <w:p w14:paraId="56A2E593" w14:textId="77777777" w:rsidR="00FC458C" w:rsidRPr="005C10C5" w:rsidRDefault="00FC458C" w:rsidP="00FC458C">
      <w:pPr>
        <w:spacing w:after="120" w:line="480" w:lineRule="auto"/>
        <w:ind w:left="720" w:hanging="720"/>
        <w:outlineLvl w:val="0"/>
      </w:pPr>
      <w:proofErr w:type="spellStart"/>
      <w:r w:rsidRPr="005C10C5">
        <w:t>Bosniak</w:t>
      </w:r>
      <w:proofErr w:type="spellEnd"/>
      <w:r w:rsidRPr="005C10C5">
        <w:t xml:space="preserve">, Linda, </w:t>
      </w:r>
      <w:r w:rsidRPr="005C10C5">
        <w:rPr>
          <w:i/>
          <w:iCs/>
        </w:rPr>
        <w:t>The Citizen and the Alien: Dilemmas of Contemporary Membership</w:t>
      </w:r>
      <w:r w:rsidRPr="005C10C5">
        <w:t xml:space="preserve"> (Princeton University Press, 2006)</w:t>
      </w:r>
    </w:p>
    <w:p w14:paraId="424E29B2" w14:textId="77777777" w:rsidR="00FC458C" w:rsidRPr="005C10C5" w:rsidRDefault="00FC458C" w:rsidP="00FC458C">
      <w:pPr>
        <w:spacing w:after="120" w:line="480" w:lineRule="auto"/>
        <w:ind w:left="720" w:hanging="720"/>
        <w:outlineLvl w:val="0"/>
      </w:pPr>
      <w:r w:rsidRPr="005C10C5">
        <w:t>Bulmer, Martin and Anthony M Rees (</w:t>
      </w:r>
      <w:proofErr w:type="spellStart"/>
      <w:r w:rsidRPr="005C10C5">
        <w:t>eds</w:t>
      </w:r>
      <w:proofErr w:type="spellEnd"/>
      <w:r w:rsidRPr="005C10C5">
        <w:t xml:space="preserve">), </w:t>
      </w:r>
      <w:r w:rsidRPr="005C10C5">
        <w:rPr>
          <w:i/>
          <w:iCs/>
        </w:rPr>
        <w:t>Citizenship Today</w:t>
      </w:r>
      <w:r w:rsidRPr="005C10C5">
        <w:t xml:space="preserve"> (UCL Press, 1996). </w:t>
      </w:r>
    </w:p>
    <w:p w14:paraId="4BA25DB7" w14:textId="77777777" w:rsidR="00FC458C" w:rsidRPr="005C10C5" w:rsidRDefault="00FC458C" w:rsidP="00FC458C">
      <w:pPr>
        <w:spacing w:after="120" w:line="480" w:lineRule="auto"/>
        <w:ind w:left="720" w:hanging="720"/>
        <w:outlineLvl w:val="0"/>
      </w:pPr>
      <w:r w:rsidRPr="005C10C5">
        <w:lastRenderedPageBreak/>
        <w:t xml:space="preserve"> Charlesworth, Hilary, ‘Who Wins under a Bill of Rights?’ (2006) 25(1) </w:t>
      </w:r>
      <w:r w:rsidRPr="005C10C5">
        <w:rPr>
          <w:i/>
          <w:iCs/>
        </w:rPr>
        <w:t>University of Queensland Law Journal</w:t>
      </w:r>
      <w:r w:rsidRPr="005C10C5">
        <w:t xml:space="preserve"> 39</w:t>
      </w:r>
    </w:p>
    <w:p w14:paraId="2EF21D55" w14:textId="77777777" w:rsidR="00FC458C" w:rsidRPr="005C10C5" w:rsidRDefault="00FC458C" w:rsidP="00FC458C">
      <w:pPr>
        <w:spacing w:after="120" w:line="480" w:lineRule="auto"/>
        <w:ind w:left="720" w:hanging="720"/>
        <w:outlineLvl w:val="0"/>
      </w:pPr>
      <w:r w:rsidRPr="005C10C5">
        <w:t>Chesterman, John and Brian Galligan, ‘Indigenous rights and Australian citizenship’ in Kim Rubenstein (</w:t>
      </w:r>
      <w:proofErr w:type="spellStart"/>
      <w:r w:rsidRPr="005C10C5">
        <w:t>ed</w:t>
      </w:r>
      <w:proofErr w:type="spellEnd"/>
      <w:r w:rsidRPr="005C10C5">
        <w:t>) </w:t>
      </w:r>
      <w:r w:rsidRPr="005C10C5">
        <w:rPr>
          <w:i/>
          <w:iCs/>
        </w:rPr>
        <w:t>Individual Community Nation: Fifty Years of Australian Citizenship</w:t>
      </w:r>
      <w:r w:rsidRPr="005C10C5">
        <w:t xml:space="preserve"> (Australian Scholarly Publishing, 2000) 43</w:t>
      </w:r>
    </w:p>
    <w:p w14:paraId="195C1648" w14:textId="77777777" w:rsidR="00FC458C" w:rsidRPr="005C10C5" w:rsidRDefault="00FC458C" w:rsidP="00FC458C">
      <w:pPr>
        <w:spacing w:after="120" w:line="480" w:lineRule="auto"/>
        <w:ind w:left="720" w:hanging="720"/>
        <w:outlineLvl w:val="0"/>
      </w:pPr>
      <w:r w:rsidRPr="005C10C5">
        <w:t xml:space="preserve">Chesterman, John and Brian Galligan, </w:t>
      </w:r>
      <w:r w:rsidRPr="005C10C5">
        <w:rPr>
          <w:i/>
          <w:iCs/>
        </w:rPr>
        <w:t>Citizens Without Rights</w:t>
      </w:r>
      <w:r w:rsidRPr="005C10C5">
        <w:t xml:space="preserve"> (Cambridge University Press, 1997)</w:t>
      </w:r>
    </w:p>
    <w:p w14:paraId="7CCF77CF" w14:textId="77777777" w:rsidR="00FC458C" w:rsidRPr="005C10C5" w:rsidRDefault="00FC458C" w:rsidP="00FC458C">
      <w:pPr>
        <w:spacing w:after="120" w:line="480" w:lineRule="auto"/>
        <w:ind w:left="720" w:hanging="720"/>
        <w:outlineLvl w:val="0"/>
      </w:pPr>
      <w:r w:rsidRPr="005C10C5">
        <w:t xml:space="preserve">Chesterman, John and Brian Galligan, </w:t>
      </w:r>
      <w:r w:rsidRPr="005C10C5">
        <w:rPr>
          <w:i/>
          <w:iCs/>
        </w:rPr>
        <w:t>Defining Australian Citizenship</w:t>
      </w:r>
      <w:r w:rsidRPr="005C10C5">
        <w:t xml:space="preserve"> (Melbourne University Press, 1999)</w:t>
      </w:r>
    </w:p>
    <w:p w14:paraId="3E342E1F" w14:textId="77777777" w:rsidR="00FC458C" w:rsidRPr="005C10C5" w:rsidRDefault="00FC458C" w:rsidP="00FC458C">
      <w:pPr>
        <w:spacing w:after="120" w:line="480" w:lineRule="auto"/>
        <w:ind w:left="720" w:hanging="720"/>
        <w:outlineLvl w:val="0"/>
      </w:pPr>
      <w:r w:rsidRPr="005C10C5">
        <w:t xml:space="preserve">Crawford, James, </w:t>
      </w:r>
      <w:proofErr w:type="spellStart"/>
      <w:r w:rsidRPr="005C10C5">
        <w:rPr>
          <w:i/>
          <w:iCs/>
        </w:rPr>
        <w:t>Brownlie's</w:t>
      </w:r>
      <w:proofErr w:type="spellEnd"/>
      <w:r w:rsidRPr="005C10C5">
        <w:rPr>
          <w:i/>
          <w:iCs/>
        </w:rPr>
        <w:t xml:space="preserve"> Principles of Public International Law</w:t>
      </w:r>
      <w:r w:rsidRPr="005C10C5">
        <w:t xml:space="preserve"> (Oxford University Press, 8th </w:t>
      </w:r>
      <w:proofErr w:type="spellStart"/>
      <w:r w:rsidRPr="005C10C5">
        <w:t>ed</w:t>
      </w:r>
      <w:proofErr w:type="spellEnd"/>
      <w:r w:rsidRPr="005C10C5">
        <w:t>, 2012)</w:t>
      </w:r>
    </w:p>
    <w:p w14:paraId="72DA20B8" w14:textId="77777777" w:rsidR="00FC458C" w:rsidRPr="005C10C5" w:rsidRDefault="00FC458C" w:rsidP="00FC458C">
      <w:pPr>
        <w:spacing w:after="120" w:line="480" w:lineRule="auto"/>
        <w:ind w:left="720" w:hanging="720"/>
        <w:outlineLvl w:val="0"/>
      </w:pPr>
      <w:r w:rsidRPr="005C10C5">
        <w:t xml:space="preserve">Crock, Mary and Laurie Berg, </w:t>
      </w:r>
      <w:r w:rsidRPr="005C10C5">
        <w:rPr>
          <w:i/>
          <w:iCs/>
        </w:rPr>
        <w:t>Immigration, Refugees and Forced Migration</w:t>
      </w:r>
      <w:r w:rsidRPr="005C10C5">
        <w:t xml:space="preserve"> (Federation Press, 2011)</w:t>
      </w:r>
    </w:p>
    <w:p w14:paraId="35261B4B" w14:textId="77777777" w:rsidR="00FC458C" w:rsidRPr="005C10C5" w:rsidRDefault="00FC458C" w:rsidP="00FC458C">
      <w:pPr>
        <w:spacing w:after="120" w:line="480" w:lineRule="auto"/>
        <w:ind w:left="720" w:hanging="720"/>
        <w:outlineLvl w:val="0"/>
      </w:pPr>
      <w:r w:rsidRPr="005C10C5">
        <w:t>Crock, Mary and Mike Butler, ‘Inside-Outsiders and the Constitution: How Australians’ right to travel was lost’ (2018) [upcoming].</w:t>
      </w:r>
    </w:p>
    <w:p w14:paraId="11F1EE2E" w14:textId="77777777" w:rsidR="00FC458C" w:rsidRPr="005C10C5" w:rsidRDefault="00FC458C" w:rsidP="00FC458C">
      <w:pPr>
        <w:spacing w:after="120" w:line="480" w:lineRule="auto"/>
        <w:ind w:left="720" w:hanging="720"/>
        <w:outlineLvl w:val="0"/>
      </w:pPr>
      <w:r w:rsidRPr="005C10C5">
        <w:t xml:space="preserve"> Davidson, Alastair, </w:t>
      </w:r>
      <w:r w:rsidRPr="005C10C5">
        <w:rPr>
          <w:i/>
          <w:iCs/>
        </w:rPr>
        <w:t>From Subject to Citizen: Australian Citizenship in the Twentieth Century</w:t>
      </w:r>
      <w:r w:rsidRPr="005C10C5">
        <w:t xml:space="preserve"> (Cambridge University Press, 1997)</w:t>
      </w:r>
    </w:p>
    <w:p w14:paraId="094B1DB3" w14:textId="77777777" w:rsidR="00FC458C" w:rsidRPr="005C10C5" w:rsidRDefault="00FC458C" w:rsidP="00FC458C">
      <w:pPr>
        <w:spacing w:after="120" w:line="480" w:lineRule="auto"/>
        <w:ind w:left="720" w:hanging="720"/>
        <w:outlineLvl w:val="0"/>
      </w:pPr>
      <w:r w:rsidRPr="005C10C5">
        <w:t xml:space="preserve">Davies, Martin et al, </w:t>
      </w:r>
      <w:proofErr w:type="spellStart"/>
      <w:r w:rsidRPr="005C10C5">
        <w:rPr>
          <w:i/>
          <w:iCs/>
        </w:rPr>
        <w:t>Nygh’s</w:t>
      </w:r>
      <w:proofErr w:type="spellEnd"/>
      <w:r w:rsidRPr="005C10C5">
        <w:rPr>
          <w:i/>
          <w:iCs/>
        </w:rPr>
        <w:t xml:space="preserve"> Conflict of Laws in Australia</w:t>
      </w:r>
      <w:r w:rsidRPr="005C10C5">
        <w:t xml:space="preserve"> (LexisNexis, 9</w:t>
      </w:r>
      <w:r w:rsidRPr="005C10C5">
        <w:rPr>
          <w:vertAlign w:val="superscript"/>
        </w:rPr>
        <w:t>th</w:t>
      </w:r>
      <w:r w:rsidRPr="005C10C5">
        <w:t xml:space="preserve"> </w:t>
      </w:r>
      <w:proofErr w:type="spellStart"/>
      <w:r w:rsidRPr="005C10C5">
        <w:t>ed</w:t>
      </w:r>
      <w:proofErr w:type="spellEnd"/>
      <w:r w:rsidRPr="005C10C5">
        <w:t xml:space="preserve">, 2014) </w:t>
      </w:r>
    </w:p>
    <w:p w14:paraId="21BF1E57" w14:textId="77777777" w:rsidR="00FC458C" w:rsidRPr="005C10C5" w:rsidRDefault="00FC458C" w:rsidP="00FC458C">
      <w:pPr>
        <w:spacing w:after="120" w:line="480" w:lineRule="auto"/>
        <w:ind w:left="720" w:hanging="720"/>
        <w:outlineLvl w:val="0"/>
      </w:pPr>
      <w:r w:rsidRPr="005C10C5">
        <w:t xml:space="preserve">Davis, Uri, </w:t>
      </w:r>
      <w:r w:rsidRPr="005C10C5">
        <w:rPr>
          <w:i/>
          <w:iCs/>
        </w:rPr>
        <w:t>Citizenship and the State: a comparative study of citizenship legislation in Israel, Jordan, Palestine, Syria and Lebanon</w:t>
      </w:r>
      <w:r w:rsidRPr="005C10C5">
        <w:t xml:space="preserve"> (</w:t>
      </w:r>
      <w:proofErr w:type="spellStart"/>
      <w:r w:rsidRPr="005C10C5">
        <w:t>Ithica</w:t>
      </w:r>
      <w:proofErr w:type="spellEnd"/>
      <w:r w:rsidRPr="005C10C5">
        <w:t xml:space="preserve"> Press, 1997)</w:t>
      </w:r>
    </w:p>
    <w:p w14:paraId="3BFBBFEE" w14:textId="77777777" w:rsidR="00FC458C" w:rsidRPr="005C10C5" w:rsidRDefault="00FC458C" w:rsidP="00FC458C">
      <w:pPr>
        <w:spacing w:after="120" w:line="480" w:lineRule="auto"/>
        <w:ind w:left="720" w:hanging="720"/>
        <w:outlineLvl w:val="0"/>
      </w:pPr>
      <w:r w:rsidRPr="005C10C5">
        <w:t xml:space="preserve">Diener, Alexander C, </w:t>
      </w:r>
      <w:proofErr w:type="spellStart"/>
      <w:r w:rsidRPr="005C10C5">
        <w:t>‘Re</w:t>
      </w:r>
      <w:proofErr w:type="spellEnd"/>
      <w:r w:rsidRPr="005C10C5">
        <w:t xml:space="preserve">-Scaling the Geography of Citizenship’ in </w:t>
      </w:r>
      <w:proofErr w:type="spellStart"/>
      <w:r w:rsidRPr="005C10C5">
        <w:t>Ayelet</w:t>
      </w:r>
      <w:proofErr w:type="spellEnd"/>
      <w:r w:rsidRPr="005C10C5">
        <w:t xml:space="preserve"> </w:t>
      </w:r>
      <w:proofErr w:type="spellStart"/>
      <w:r w:rsidRPr="005C10C5">
        <w:t>Shachar</w:t>
      </w:r>
      <w:proofErr w:type="spellEnd"/>
      <w:r w:rsidRPr="005C10C5">
        <w:t xml:space="preserve"> et al (</w:t>
      </w:r>
      <w:proofErr w:type="spellStart"/>
      <w:r w:rsidRPr="005C10C5">
        <w:t>eds</w:t>
      </w:r>
      <w:proofErr w:type="spellEnd"/>
      <w:r w:rsidRPr="005C10C5">
        <w:t xml:space="preserve">), </w:t>
      </w:r>
      <w:r w:rsidRPr="005C10C5">
        <w:rPr>
          <w:i/>
          <w:iCs/>
        </w:rPr>
        <w:t>The Oxford Handbook of Citizenship</w:t>
      </w:r>
      <w:r w:rsidRPr="005C10C5">
        <w:t xml:space="preserve"> (Oxford University Press, 2017) 36</w:t>
      </w:r>
    </w:p>
    <w:p w14:paraId="43FEDC83" w14:textId="77777777" w:rsidR="00FC458C" w:rsidRPr="005C10C5" w:rsidRDefault="00FC458C" w:rsidP="00FC458C">
      <w:pPr>
        <w:spacing w:after="120" w:line="480" w:lineRule="auto"/>
        <w:ind w:left="720" w:hanging="720"/>
        <w:outlineLvl w:val="0"/>
      </w:pPr>
      <w:proofErr w:type="spellStart"/>
      <w:r w:rsidRPr="005C10C5">
        <w:lastRenderedPageBreak/>
        <w:t>Donati</w:t>
      </w:r>
      <w:proofErr w:type="spellEnd"/>
      <w:r w:rsidRPr="005C10C5">
        <w:t xml:space="preserve">, Sabina, </w:t>
      </w:r>
      <w:r w:rsidRPr="005C10C5">
        <w:rPr>
          <w:i/>
          <w:iCs/>
        </w:rPr>
        <w:t>A Political History of National Citizenship and Identity in Italy, 1861–1950</w:t>
      </w:r>
      <w:r w:rsidRPr="005C10C5">
        <w:t xml:space="preserve"> (Stanford University Press, 2013).</w:t>
      </w:r>
    </w:p>
    <w:p w14:paraId="235E5945" w14:textId="77777777" w:rsidR="00FC458C" w:rsidRPr="005C10C5" w:rsidRDefault="00FC458C" w:rsidP="00FC458C">
      <w:pPr>
        <w:spacing w:after="120" w:line="480" w:lineRule="auto"/>
        <w:ind w:left="720" w:hanging="720"/>
        <w:outlineLvl w:val="0"/>
      </w:pPr>
      <w:r w:rsidRPr="005C10C5">
        <w:t>Dutton, David, </w:t>
      </w:r>
      <w:r w:rsidRPr="005C10C5">
        <w:rPr>
          <w:i/>
          <w:iCs/>
        </w:rPr>
        <w:t>Citizenship in Australia: A Guide to Commonwealth Government Records</w:t>
      </w:r>
      <w:r w:rsidRPr="005C10C5">
        <w:t> (1999)</w:t>
      </w:r>
    </w:p>
    <w:p w14:paraId="75937113" w14:textId="77777777" w:rsidR="00FC458C" w:rsidRPr="005C10C5" w:rsidRDefault="00FC458C" w:rsidP="00FC458C">
      <w:pPr>
        <w:spacing w:after="120" w:line="480" w:lineRule="auto"/>
        <w:ind w:left="720" w:hanging="720"/>
        <w:outlineLvl w:val="0"/>
      </w:pPr>
      <w:r w:rsidRPr="005C10C5">
        <w:t xml:space="preserve">Dutton, David, </w:t>
      </w:r>
      <w:r w:rsidRPr="005C10C5">
        <w:rPr>
          <w:i/>
          <w:iCs/>
        </w:rPr>
        <w:t>One of Us: A Century of Australian Citizenship</w:t>
      </w:r>
      <w:r w:rsidRPr="005C10C5">
        <w:t xml:space="preserve"> (University of New South Wales Press, 2002) 150</w:t>
      </w:r>
    </w:p>
    <w:p w14:paraId="3465CAE8" w14:textId="77777777" w:rsidR="00FC458C" w:rsidRPr="005C10C5" w:rsidRDefault="00FC458C" w:rsidP="00FC458C">
      <w:pPr>
        <w:spacing w:after="120" w:line="480" w:lineRule="auto"/>
        <w:ind w:left="720" w:hanging="720"/>
        <w:outlineLvl w:val="0"/>
      </w:pPr>
      <w:r w:rsidRPr="005C10C5">
        <w:t xml:space="preserve">Every, Danielle and Martha </w:t>
      </w:r>
      <w:proofErr w:type="spellStart"/>
      <w:r w:rsidRPr="005C10C5">
        <w:t>Augoustinos</w:t>
      </w:r>
      <w:proofErr w:type="spellEnd"/>
      <w:r w:rsidRPr="005C10C5">
        <w:t xml:space="preserve">, ‘Constructions of racism in the Australian parliamentary debates on asylum seekers’ (2007) 18(4) </w:t>
      </w:r>
      <w:r w:rsidRPr="005C10C5">
        <w:rPr>
          <w:i/>
          <w:iCs/>
        </w:rPr>
        <w:t>Discourse &amp; Society</w:t>
      </w:r>
      <w:r w:rsidRPr="005C10C5">
        <w:t xml:space="preserve"> 411.</w:t>
      </w:r>
    </w:p>
    <w:p w14:paraId="4025FA6D" w14:textId="77777777" w:rsidR="00FC458C" w:rsidRPr="005C10C5" w:rsidRDefault="00FC458C" w:rsidP="00FC458C">
      <w:pPr>
        <w:spacing w:after="120" w:line="480" w:lineRule="auto"/>
        <w:ind w:left="720" w:hanging="720"/>
        <w:outlineLvl w:val="0"/>
      </w:pPr>
      <w:r w:rsidRPr="005C10C5">
        <w:t xml:space="preserve">Finlay, Graham, ‘“Citizenship Matters”: Lessons from the Irish Citizenship Referendum’ (2008) 60(3) </w:t>
      </w:r>
      <w:r w:rsidRPr="005C10C5">
        <w:rPr>
          <w:i/>
          <w:iCs/>
        </w:rPr>
        <w:t>American Quarterly</w:t>
      </w:r>
      <w:r w:rsidRPr="005C10C5">
        <w:t xml:space="preserve"> 575</w:t>
      </w:r>
    </w:p>
    <w:p w14:paraId="0C0500C4" w14:textId="77777777" w:rsidR="00FC458C" w:rsidRPr="005C10C5" w:rsidRDefault="00FC458C" w:rsidP="00FC458C">
      <w:pPr>
        <w:spacing w:after="120" w:line="480" w:lineRule="auto"/>
        <w:ind w:left="720" w:hanging="720"/>
        <w:outlineLvl w:val="0"/>
      </w:pPr>
      <w:r w:rsidRPr="005C10C5">
        <w:t xml:space="preserve">Ford, Lisa, </w:t>
      </w:r>
      <w:r w:rsidRPr="005C10C5">
        <w:rPr>
          <w:i/>
          <w:iCs/>
        </w:rPr>
        <w:t>Settler Sovereignty, Jurisdiction and Indigenous People in America and Australia, 1788-1836</w:t>
      </w:r>
      <w:r w:rsidRPr="005C10C5">
        <w:t xml:space="preserve"> (Harvard University Press, 2010)</w:t>
      </w:r>
    </w:p>
    <w:p w14:paraId="36FB1886" w14:textId="77777777" w:rsidR="00FC458C" w:rsidRPr="005C10C5" w:rsidRDefault="00FC458C" w:rsidP="00FC458C">
      <w:pPr>
        <w:spacing w:after="120" w:line="480" w:lineRule="auto"/>
        <w:ind w:left="720" w:hanging="720"/>
        <w:outlineLvl w:val="0"/>
      </w:pPr>
      <w:r w:rsidRPr="005C10C5">
        <w:t xml:space="preserve">Fraser, Nancy and Linda Gordon, ‘Contract vs. Charity: Why is there no Social Citizenship in the United States,’ (1992) 22(3) </w:t>
      </w:r>
      <w:r w:rsidRPr="005C10C5">
        <w:rPr>
          <w:i/>
          <w:iCs/>
        </w:rPr>
        <w:t>Socialist Review</w:t>
      </w:r>
      <w:r w:rsidRPr="005C10C5">
        <w:t xml:space="preserve"> 45</w:t>
      </w:r>
    </w:p>
    <w:p w14:paraId="59E8A4CB" w14:textId="77777777" w:rsidR="00FC458C" w:rsidRPr="005C10C5" w:rsidRDefault="00FC458C" w:rsidP="00FC458C">
      <w:pPr>
        <w:spacing w:after="120" w:line="480" w:lineRule="auto"/>
        <w:ind w:left="720" w:hanging="720"/>
        <w:outlineLvl w:val="0"/>
      </w:pPr>
      <w:r w:rsidRPr="005C10C5">
        <w:t xml:space="preserve">Gale, Peter, ‘The refugee crisis and fear’ (2004) 12(4) </w:t>
      </w:r>
      <w:r w:rsidRPr="005C10C5">
        <w:rPr>
          <w:i/>
          <w:iCs/>
        </w:rPr>
        <w:t>Journal of Sociology</w:t>
      </w:r>
      <w:r w:rsidRPr="005C10C5">
        <w:t xml:space="preserve"> 321</w:t>
      </w:r>
    </w:p>
    <w:p w14:paraId="4D06F0F6" w14:textId="77777777" w:rsidR="00FC458C" w:rsidRPr="005C10C5" w:rsidRDefault="00FC458C" w:rsidP="00FC458C">
      <w:pPr>
        <w:spacing w:after="120" w:line="480" w:lineRule="auto"/>
        <w:ind w:left="720" w:hanging="720"/>
        <w:outlineLvl w:val="0"/>
      </w:pPr>
      <w:proofErr w:type="spellStart"/>
      <w:r w:rsidRPr="005C10C5">
        <w:t>Gray</w:t>
      </w:r>
      <w:proofErr w:type="spellEnd"/>
      <w:r w:rsidRPr="005C10C5">
        <w:t xml:space="preserve"> Anthony, 'The meaning of an “alien” in the constitutional universe' (2013) 20 </w:t>
      </w:r>
      <w:r w:rsidRPr="005C10C5">
        <w:rPr>
          <w:i/>
          <w:iCs/>
        </w:rPr>
        <w:t>Australian Journal of Administrative Law</w:t>
      </w:r>
      <w:r w:rsidRPr="005C10C5">
        <w:t xml:space="preserve"> 89</w:t>
      </w:r>
    </w:p>
    <w:p w14:paraId="1E56F8D1" w14:textId="77777777" w:rsidR="00FC458C" w:rsidRPr="005C10C5" w:rsidRDefault="00FC458C" w:rsidP="00FC458C">
      <w:pPr>
        <w:spacing w:after="120" w:line="480" w:lineRule="auto"/>
        <w:ind w:left="720" w:hanging="720"/>
        <w:outlineLvl w:val="0"/>
      </w:pPr>
      <w:r w:rsidRPr="005C10C5">
        <w:t xml:space="preserve">Hall, Stuart, ‘New Ethnicities’, in James Donald and Ali </w:t>
      </w:r>
      <w:proofErr w:type="spellStart"/>
      <w:r w:rsidRPr="005C10C5">
        <w:t>Rattansi</w:t>
      </w:r>
      <w:proofErr w:type="spellEnd"/>
      <w:r w:rsidRPr="005C10C5">
        <w:t xml:space="preserve"> (</w:t>
      </w:r>
      <w:proofErr w:type="spellStart"/>
      <w:r w:rsidRPr="005C10C5">
        <w:t>eds</w:t>
      </w:r>
      <w:proofErr w:type="spellEnd"/>
      <w:r w:rsidRPr="005C10C5">
        <w:t xml:space="preserve">) </w:t>
      </w:r>
      <w:r w:rsidRPr="005C10C5">
        <w:rPr>
          <w:i/>
          <w:iCs/>
        </w:rPr>
        <w:t>‘Race’, Culture and Difference</w:t>
      </w:r>
      <w:r w:rsidRPr="005C10C5">
        <w:t xml:space="preserve"> (SAGE, 1992) 252</w:t>
      </w:r>
    </w:p>
    <w:p w14:paraId="09942F8A" w14:textId="77777777" w:rsidR="00FC458C" w:rsidRPr="005C10C5" w:rsidRDefault="00FC458C" w:rsidP="00FC458C">
      <w:pPr>
        <w:spacing w:after="120" w:line="480" w:lineRule="auto"/>
        <w:ind w:left="720" w:hanging="720"/>
        <w:outlineLvl w:val="0"/>
      </w:pPr>
      <w:proofErr w:type="spellStart"/>
      <w:r w:rsidRPr="005C10C5">
        <w:t>Hammar</w:t>
      </w:r>
      <w:proofErr w:type="spellEnd"/>
      <w:r w:rsidRPr="005C10C5">
        <w:t>, Tomas, ‘State, Nation, and Dual Citizenship’ in William Rogers Brubaker (</w:t>
      </w:r>
      <w:proofErr w:type="spellStart"/>
      <w:r w:rsidRPr="005C10C5">
        <w:t>ed</w:t>
      </w:r>
      <w:proofErr w:type="spellEnd"/>
      <w:r w:rsidRPr="005C10C5">
        <w:t xml:space="preserve">) </w:t>
      </w:r>
      <w:r w:rsidRPr="005C10C5">
        <w:rPr>
          <w:i/>
          <w:iCs/>
        </w:rPr>
        <w:t>Immigration and the Politics of Citizenship in Europe and North America</w:t>
      </w:r>
      <w:r w:rsidRPr="005C10C5">
        <w:t xml:space="preserve"> (University Press of America, 1989) 85.</w:t>
      </w:r>
    </w:p>
    <w:p w14:paraId="14F06ACC" w14:textId="77777777" w:rsidR="00FC458C" w:rsidRPr="005C10C5" w:rsidRDefault="00FC458C" w:rsidP="00FC458C">
      <w:pPr>
        <w:spacing w:after="120" w:line="480" w:lineRule="auto"/>
        <w:ind w:left="720" w:hanging="720"/>
        <w:outlineLvl w:val="0"/>
      </w:pPr>
      <w:r w:rsidRPr="005C10C5">
        <w:lastRenderedPageBreak/>
        <w:t>Irving, Helen, ‘Citizenship before 1949’ in Kim Rubenstein (</w:t>
      </w:r>
      <w:proofErr w:type="spellStart"/>
      <w:r w:rsidRPr="005C10C5">
        <w:t>ed</w:t>
      </w:r>
      <w:proofErr w:type="spellEnd"/>
      <w:r w:rsidRPr="005C10C5">
        <w:t>) </w:t>
      </w:r>
      <w:r w:rsidRPr="005C10C5">
        <w:rPr>
          <w:i/>
          <w:iCs/>
        </w:rPr>
        <w:t>Individual Community Nation: Fifty Years of Australian Citizenship</w:t>
      </w:r>
      <w:r w:rsidRPr="005C10C5">
        <w:t xml:space="preserve"> (Australian Scholarly Publishing, 2000) 5</w:t>
      </w:r>
    </w:p>
    <w:p w14:paraId="663DC749" w14:textId="77777777" w:rsidR="00FC458C" w:rsidRPr="005C10C5" w:rsidRDefault="00FC458C" w:rsidP="00FC458C">
      <w:pPr>
        <w:spacing w:after="120" w:line="480" w:lineRule="auto"/>
        <w:ind w:left="720" w:hanging="720"/>
      </w:pPr>
      <w:r w:rsidRPr="005C10C5">
        <w:t xml:space="preserve">Joint Standing Committee on Electoral Matters, Parliament of Australia, </w:t>
      </w:r>
      <w:r w:rsidRPr="005C10C5">
        <w:rPr>
          <w:i/>
          <w:iCs/>
        </w:rPr>
        <w:t>Excluded: The impact of section 44 on Australian democracy</w:t>
      </w:r>
      <w:r w:rsidRPr="005C10C5">
        <w:t xml:space="preserve"> (2018)</w:t>
      </w:r>
    </w:p>
    <w:p w14:paraId="6B1317AE" w14:textId="77777777" w:rsidR="00FC458C" w:rsidRPr="005C10C5" w:rsidRDefault="00FC458C" w:rsidP="00FC458C">
      <w:pPr>
        <w:spacing w:after="120" w:line="480" w:lineRule="auto"/>
        <w:ind w:left="720" w:hanging="720"/>
        <w:outlineLvl w:val="0"/>
      </w:pPr>
      <w:r w:rsidRPr="005C10C5">
        <w:t xml:space="preserve"> </w:t>
      </w:r>
      <w:proofErr w:type="spellStart"/>
      <w:r w:rsidRPr="005C10C5">
        <w:t>Jordens</w:t>
      </w:r>
      <w:proofErr w:type="spellEnd"/>
      <w:r w:rsidRPr="005C10C5">
        <w:t xml:space="preserve">, Ann-Mari, </w:t>
      </w:r>
      <w:r w:rsidRPr="005C10C5">
        <w:rPr>
          <w:i/>
          <w:iCs/>
        </w:rPr>
        <w:t>Redefining Australians: Immigration, Citizenship and National Identity</w:t>
      </w:r>
      <w:r w:rsidRPr="005C10C5">
        <w:t xml:space="preserve"> (Hale and </w:t>
      </w:r>
      <w:proofErr w:type="spellStart"/>
      <w:r w:rsidRPr="005C10C5">
        <w:t>Iremonger</w:t>
      </w:r>
      <w:proofErr w:type="spellEnd"/>
      <w:r w:rsidRPr="005C10C5">
        <w:t>, 1995)</w:t>
      </w:r>
    </w:p>
    <w:p w14:paraId="56805815" w14:textId="77777777" w:rsidR="00FC458C" w:rsidRPr="005C10C5" w:rsidRDefault="00FC458C" w:rsidP="00FC458C">
      <w:pPr>
        <w:spacing w:after="120" w:line="480" w:lineRule="auto"/>
        <w:ind w:left="720" w:hanging="720"/>
        <w:outlineLvl w:val="0"/>
      </w:pPr>
      <w:proofErr w:type="spellStart"/>
      <w:r w:rsidRPr="005C10C5">
        <w:t>Koessler</w:t>
      </w:r>
      <w:proofErr w:type="spellEnd"/>
      <w:r w:rsidRPr="005C10C5">
        <w:t xml:space="preserve">, Maximillian, ‘“Subject,” “Citizen,” “National,” and “Permanent Allegiance”’ (1946) 56(1) </w:t>
      </w:r>
      <w:r w:rsidRPr="005C10C5">
        <w:rPr>
          <w:i/>
          <w:iCs/>
        </w:rPr>
        <w:t>Yale Law Journal</w:t>
      </w:r>
      <w:r w:rsidRPr="005C10C5">
        <w:t xml:space="preserve"> 58</w:t>
      </w:r>
    </w:p>
    <w:p w14:paraId="14C010CC" w14:textId="77777777" w:rsidR="00FC458C" w:rsidRPr="005C10C5" w:rsidRDefault="00FC458C" w:rsidP="00FC458C">
      <w:pPr>
        <w:spacing w:after="120" w:line="480" w:lineRule="auto"/>
        <w:ind w:left="720" w:hanging="720"/>
        <w:outlineLvl w:val="0"/>
      </w:pPr>
      <w:proofErr w:type="spellStart"/>
      <w:r w:rsidRPr="005C10C5">
        <w:t>Kymlicka</w:t>
      </w:r>
      <w:proofErr w:type="spellEnd"/>
      <w:r w:rsidRPr="005C10C5">
        <w:t xml:space="preserve">, Will and Wayne Norman, 'Return of the Citizen: A Survey of Recent Work on Citizenship Theory' (1994) 104 </w:t>
      </w:r>
      <w:r w:rsidRPr="005C10C5">
        <w:rPr>
          <w:i/>
          <w:iCs/>
        </w:rPr>
        <w:t>Ethics</w:t>
      </w:r>
      <w:r w:rsidRPr="005C10C5">
        <w:t xml:space="preserve"> 352</w:t>
      </w:r>
    </w:p>
    <w:p w14:paraId="27511C8E" w14:textId="77777777" w:rsidR="00FC458C" w:rsidRPr="005C10C5" w:rsidRDefault="00FC458C" w:rsidP="00FC458C">
      <w:pPr>
        <w:spacing w:after="120" w:line="480" w:lineRule="auto"/>
        <w:ind w:left="720" w:hanging="720"/>
        <w:outlineLvl w:val="0"/>
      </w:pPr>
      <w:r w:rsidRPr="005C10C5">
        <w:t xml:space="preserve"> </w:t>
      </w:r>
      <w:proofErr w:type="spellStart"/>
      <w:r w:rsidRPr="005C10C5">
        <w:t>Levack</w:t>
      </w:r>
      <w:proofErr w:type="spellEnd"/>
      <w:r w:rsidRPr="005C10C5">
        <w:t xml:space="preserve">, Brian P, </w:t>
      </w:r>
      <w:r w:rsidRPr="005C10C5">
        <w:rPr>
          <w:i/>
          <w:iCs/>
        </w:rPr>
        <w:t>The formation of the British state: England, Scotland, and the Union, 1603-1707</w:t>
      </w:r>
      <w:r w:rsidRPr="005C10C5">
        <w:t xml:space="preserve"> (Clarendon Press, 1987)</w:t>
      </w:r>
    </w:p>
    <w:p w14:paraId="6DC14122" w14:textId="77777777" w:rsidR="00FC458C" w:rsidRPr="005C10C5" w:rsidRDefault="00FC458C" w:rsidP="00FC458C">
      <w:pPr>
        <w:spacing w:after="120" w:line="480" w:lineRule="auto"/>
        <w:ind w:left="720" w:hanging="720"/>
        <w:outlineLvl w:val="0"/>
      </w:pPr>
      <w:r w:rsidRPr="005C10C5">
        <w:t xml:space="preserve">Markus, Andrew, ‘Of continuities and discontinuities: Reflections on a century of Australian immigration’ in </w:t>
      </w:r>
      <w:proofErr w:type="spellStart"/>
      <w:r w:rsidRPr="005C10C5">
        <w:t>Laksiri</w:t>
      </w:r>
      <w:proofErr w:type="spellEnd"/>
      <w:r w:rsidRPr="005C10C5">
        <w:t xml:space="preserve"> </w:t>
      </w:r>
      <w:proofErr w:type="spellStart"/>
      <w:r w:rsidRPr="005C10C5">
        <w:t>Jayasuriya</w:t>
      </w:r>
      <w:proofErr w:type="spellEnd"/>
      <w:r w:rsidRPr="005C10C5">
        <w:t xml:space="preserve"> et al (</w:t>
      </w:r>
      <w:proofErr w:type="spellStart"/>
      <w:r w:rsidRPr="005C10C5">
        <w:t>eds</w:t>
      </w:r>
      <w:proofErr w:type="spellEnd"/>
      <w:r w:rsidRPr="005C10C5">
        <w:t xml:space="preserve">) </w:t>
      </w:r>
      <w:r w:rsidRPr="005C10C5">
        <w:rPr>
          <w:i/>
          <w:iCs/>
        </w:rPr>
        <w:t>Legacies of White Australia race, culture and nation</w:t>
      </w:r>
      <w:r w:rsidRPr="005C10C5">
        <w:t xml:space="preserve"> (University of Western Australia Press, 2003) 175</w:t>
      </w:r>
    </w:p>
    <w:p w14:paraId="29ECB57B" w14:textId="77777777" w:rsidR="00FC458C" w:rsidRPr="005C10C5" w:rsidRDefault="00FC458C" w:rsidP="00FC458C">
      <w:pPr>
        <w:spacing w:after="120" w:line="480" w:lineRule="auto"/>
        <w:ind w:left="720" w:hanging="720"/>
        <w:outlineLvl w:val="0"/>
      </w:pPr>
      <w:r w:rsidRPr="005C10C5">
        <w:t xml:space="preserve">Marshall, T H, </w:t>
      </w:r>
      <w:r w:rsidRPr="005C10C5">
        <w:rPr>
          <w:i/>
          <w:iCs/>
        </w:rPr>
        <w:t>Citizenship and Social Class and other essays</w:t>
      </w:r>
      <w:r w:rsidRPr="005C10C5">
        <w:t xml:space="preserve"> (Cambridge University Press, 1950)</w:t>
      </w:r>
    </w:p>
    <w:p w14:paraId="78FAFA89" w14:textId="77777777" w:rsidR="00FC458C" w:rsidRPr="005C10C5" w:rsidRDefault="00FC458C" w:rsidP="00FC458C">
      <w:pPr>
        <w:spacing w:after="120" w:line="480" w:lineRule="auto"/>
        <w:ind w:left="720" w:hanging="720"/>
        <w:outlineLvl w:val="0"/>
      </w:pPr>
      <w:r w:rsidRPr="005C10C5">
        <w:t xml:space="preserve">McMaster, Don, ‘Asylum-seekers and the insecurity of a nation’ (2002) 56(2) </w:t>
      </w:r>
      <w:r w:rsidRPr="005C10C5">
        <w:rPr>
          <w:i/>
          <w:iCs/>
        </w:rPr>
        <w:t>Australian Journal of International Affairs</w:t>
      </w:r>
      <w:r w:rsidRPr="005C10C5">
        <w:t xml:space="preserve"> 279</w:t>
      </w:r>
    </w:p>
    <w:p w14:paraId="4F6A4537" w14:textId="77777777" w:rsidR="00FC458C" w:rsidRPr="005C10C5" w:rsidRDefault="00FC458C" w:rsidP="00FC458C">
      <w:pPr>
        <w:spacing w:after="120" w:line="480" w:lineRule="auto"/>
        <w:ind w:left="720" w:hanging="720"/>
        <w:outlineLvl w:val="0"/>
      </w:pPr>
      <w:r w:rsidRPr="005C10C5">
        <w:t xml:space="preserve">Orr, Graeme, ‘Fertilising a Thicket: Section 44, MP Qualifications and the High Court’ (2018) 29(1) </w:t>
      </w:r>
      <w:r w:rsidRPr="005C10C5">
        <w:rPr>
          <w:i/>
          <w:iCs/>
        </w:rPr>
        <w:t>Public Law Review</w:t>
      </w:r>
      <w:r w:rsidRPr="005C10C5">
        <w:t xml:space="preserve"> 17</w:t>
      </w:r>
    </w:p>
    <w:p w14:paraId="3AEE3B1A" w14:textId="77777777" w:rsidR="00FC458C" w:rsidRPr="005C10C5" w:rsidRDefault="00FC458C" w:rsidP="00FC458C">
      <w:pPr>
        <w:spacing w:after="120" w:line="480" w:lineRule="auto"/>
        <w:ind w:left="720" w:hanging="720"/>
      </w:pPr>
      <w:r w:rsidRPr="005C10C5">
        <w:lastRenderedPageBreak/>
        <w:t xml:space="preserve">Parkes, Henry ‘Opening Speech to the First Federation Convention’, </w:t>
      </w:r>
      <w:r w:rsidRPr="005C10C5">
        <w:rPr>
          <w:i/>
          <w:iCs/>
        </w:rPr>
        <w:t>Federal Government of Australasia</w:t>
      </w:r>
      <w:r w:rsidRPr="005C10C5">
        <w:t xml:space="preserve"> (1890)</w:t>
      </w:r>
    </w:p>
    <w:p w14:paraId="605E3267" w14:textId="77777777" w:rsidR="00FC458C" w:rsidRPr="005C10C5" w:rsidRDefault="00FC458C" w:rsidP="00FC458C">
      <w:pPr>
        <w:spacing w:after="120" w:line="480" w:lineRule="auto"/>
        <w:ind w:left="720" w:hanging="720"/>
        <w:outlineLvl w:val="0"/>
      </w:pPr>
      <w:r w:rsidRPr="005C10C5">
        <w:t xml:space="preserve">Pope, Alan, </w:t>
      </w:r>
      <w:r w:rsidRPr="005C10C5">
        <w:rPr>
          <w:i/>
          <w:iCs/>
        </w:rPr>
        <w:t xml:space="preserve">One Law for </w:t>
      </w:r>
      <w:proofErr w:type="gramStart"/>
      <w:r w:rsidRPr="005C10C5">
        <w:rPr>
          <w:i/>
          <w:iCs/>
        </w:rPr>
        <w:t>All?:</w:t>
      </w:r>
      <w:proofErr w:type="gramEnd"/>
      <w:r w:rsidRPr="005C10C5">
        <w:rPr>
          <w:i/>
          <w:iCs/>
        </w:rPr>
        <w:t xml:space="preserve"> Aboriginal People and Criminal Law in Early South Australia</w:t>
      </w:r>
      <w:r w:rsidRPr="005C10C5">
        <w:t xml:space="preserve"> (Aboriginal Studies Press, 2011) 27.</w:t>
      </w:r>
    </w:p>
    <w:p w14:paraId="18C09115" w14:textId="77777777" w:rsidR="00FC458C" w:rsidRPr="005C10C5" w:rsidRDefault="00FC458C" w:rsidP="00FC458C">
      <w:pPr>
        <w:spacing w:after="120" w:line="480" w:lineRule="auto"/>
        <w:ind w:left="720" w:hanging="720"/>
        <w:outlineLvl w:val="0"/>
      </w:pPr>
      <w:r w:rsidRPr="005C10C5">
        <w:t xml:space="preserve">Price, Polly J, ‘Natural Law and Birthright Citizenship in Calvin's Case (1608)’ (1997) 9 </w:t>
      </w:r>
      <w:r w:rsidRPr="005C10C5">
        <w:rPr>
          <w:i/>
          <w:iCs/>
        </w:rPr>
        <w:t>Yale Journal of Law &amp; the Humanities</w:t>
      </w:r>
      <w:r w:rsidRPr="005C10C5">
        <w:t xml:space="preserve"> 73</w:t>
      </w:r>
    </w:p>
    <w:p w14:paraId="2E8A892E" w14:textId="77777777" w:rsidR="00FC458C" w:rsidRPr="005C10C5" w:rsidRDefault="00FC458C" w:rsidP="00FC458C">
      <w:pPr>
        <w:spacing w:after="120" w:line="480" w:lineRule="auto"/>
        <w:ind w:left="720" w:hanging="720"/>
        <w:outlineLvl w:val="0"/>
      </w:pPr>
      <w:r w:rsidRPr="005C10C5">
        <w:t xml:space="preserve">Quick, John and Robert Garran, </w:t>
      </w:r>
      <w:r w:rsidRPr="005C10C5">
        <w:rPr>
          <w:i/>
          <w:iCs/>
        </w:rPr>
        <w:t>The Annotated Constitution of the Australian Commonwealth</w:t>
      </w:r>
      <w:r w:rsidRPr="005C10C5">
        <w:t xml:space="preserve"> (LexisNexis Butterworths, 1901) 957</w:t>
      </w:r>
    </w:p>
    <w:p w14:paraId="13BD662E" w14:textId="77777777" w:rsidR="00FC458C" w:rsidRPr="005C10C5" w:rsidRDefault="00FC458C" w:rsidP="00FC458C">
      <w:pPr>
        <w:spacing w:after="120" w:line="480" w:lineRule="auto"/>
        <w:ind w:left="720" w:hanging="720"/>
        <w:outlineLvl w:val="0"/>
      </w:pPr>
      <w:r w:rsidRPr="005C10C5">
        <w:t xml:space="preserve">Rubenstein, Kim ‘Citizenship and the Centenary: Inclusion and Exclusion in 20th Century Australia.’ (2000) 24 </w:t>
      </w:r>
      <w:r w:rsidRPr="005C10C5">
        <w:rPr>
          <w:i/>
          <w:iCs/>
        </w:rPr>
        <w:t>Melbourne University Law Review</w:t>
      </w:r>
      <w:r w:rsidRPr="005C10C5">
        <w:t xml:space="preserve"> 576</w:t>
      </w:r>
    </w:p>
    <w:p w14:paraId="6405BC97" w14:textId="77777777" w:rsidR="00FC458C" w:rsidRPr="005C10C5" w:rsidRDefault="00FC458C" w:rsidP="00FC458C">
      <w:pPr>
        <w:spacing w:after="120" w:line="480" w:lineRule="auto"/>
        <w:ind w:left="720" w:hanging="720"/>
        <w:outlineLvl w:val="0"/>
      </w:pPr>
      <w:r w:rsidRPr="005C10C5">
        <w:t xml:space="preserve">Rubenstein, Kim and Niamh </w:t>
      </w:r>
      <w:proofErr w:type="spellStart"/>
      <w:r w:rsidRPr="005C10C5">
        <w:t>Lenagh</w:t>
      </w:r>
      <w:proofErr w:type="spellEnd"/>
      <w:r w:rsidRPr="005C10C5">
        <w:t>-Maguire, ‘Citizenship and the boundaries of the constitution’ in Tom Ginsburg and Rosalind Dixon (</w:t>
      </w:r>
      <w:proofErr w:type="spellStart"/>
      <w:r w:rsidRPr="005C10C5">
        <w:t>eds</w:t>
      </w:r>
      <w:proofErr w:type="spellEnd"/>
      <w:r w:rsidRPr="005C10C5">
        <w:t xml:space="preserve">) </w:t>
      </w:r>
      <w:r w:rsidRPr="005C10C5">
        <w:rPr>
          <w:i/>
          <w:iCs/>
        </w:rPr>
        <w:t>Comparative Constitutional Law</w:t>
      </w:r>
      <w:r w:rsidRPr="005C10C5">
        <w:t xml:space="preserve"> (Edward Elgar, 2011) 143</w:t>
      </w:r>
    </w:p>
    <w:p w14:paraId="4B20CA71" w14:textId="77777777" w:rsidR="00FC458C" w:rsidRPr="005C10C5" w:rsidRDefault="00FC458C" w:rsidP="00FC458C">
      <w:pPr>
        <w:spacing w:after="120" w:line="480" w:lineRule="auto"/>
        <w:ind w:left="720" w:hanging="720"/>
        <w:outlineLvl w:val="0"/>
      </w:pPr>
      <w:r w:rsidRPr="005C10C5">
        <w:t xml:space="preserve">Rubenstein, Kim, ‘Citizenship and the Centenary: Inclusion and Exclusion in 20th Century Australia’ (2000) 24(3) </w:t>
      </w:r>
      <w:r w:rsidRPr="005C10C5">
        <w:rPr>
          <w:i/>
          <w:iCs/>
        </w:rPr>
        <w:t>Melbourne University Law Review</w:t>
      </w:r>
      <w:r w:rsidRPr="005C10C5">
        <w:t xml:space="preserve"> 576</w:t>
      </w:r>
    </w:p>
    <w:p w14:paraId="440325DF" w14:textId="77777777" w:rsidR="00FC458C" w:rsidRPr="005C10C5" w:rsidRDefault="00FC458C" w:rsidP="00FC458C">
      <w:pPr>
        <w:spacing w:after="120" w:line="480" w:lineRule="auto"/>
        <w:ind w:left="720" w:hanging="720"/>
        <w:outlineLvl w:val="0"/>
      </w:pPr>
      <w:r w:rsidRPr="005C10C5">
        <w:t xml:space="preserve">Rubenstein, Kim, ‘Citizenship and the Constitutional Convention Debates: A Mere Legal Inference’ (1997) 25(2) </w:t>
      </w:r>
      <w:r w:rsidRPr="005C10C5">
        <w:rPr>
          <w:i/>
          <w:iCs/>
        </w:rPr>
        <w:t>Federal Law Review</w:t>
      </w:r>
      <w:r w:rsidRPr="005C10C5">
        <w:t xml:space="preserve"> 295</w:t>
      </w:r>
    </w:p>
    <w:p w14:paraId="47D0A72A" w14:textId="77777777" w:rsidR="00FC458C" w:rsidRPr="005C10C5" w:rsidRDefault="00FC458C" w:rsidP="00FC458C">
      <w:pPr>
        <w:spacing w:after="120" w:line="480" w:lineRule="auto"/>
        <w:ind w:left="720" w:hanging="720"/>
        <w:outlineLvl w:val="0"/>
      </w:pPr>
      <w:r w:rsidRPr="005C10C5">
        <w:t xml:space="preserve">Rubenstein, Kim, ‘Citizenship in Australia: unscrambling its meaning’ (1995) 20(2) </w:t>
      </w:r>
      <w:r w:rsidRPr="005C10C5">
        <w:rPr>
          <w:i/>
          <w:iCs/>
        </w:rPr>
        <w:t>Melbourne University Law Review</w:t>
      </w:r>
      <w:r w:rsidRPr="005C10C5">
        <w:t xml:space="preserve"> 503</w:t>
      </w:r>
    </w:p>
    <w:p w14:paraId="2AA9D737" w14:textId="77777777" w:rsidR="00FC458C" w:rsidRPr="005C10C5" w:rsidRDefault="00FC458C" w:rsidP="00FC458C">
      <w:pPr>
        <w:spacing w:after="120" w:line="480" w:lineRule="auto"/>
        <w:ind w:left="720" w:hanging="720"/>
        <w:outlineLvl w:val="0"/>
      </w:pPr>
      <w:r w:rsidRPr="005C10C5">
        <w:t>Rubenstein, Kim, ‘From this time forward... I pledge my loyalty to Australia’: loyalty, citizenship and constitutional law in Australia’ in Victoria Mason and Richard Nile (</w:t>
      </w:r>
      <w:proofErr w:type="spellStart"/>
      <w:r w:rsidRPr="005C10C5">
        <w:t>eds</w:t>
      </w:r>
      <w:proofErr w:type="spellEnd"/>
      <w:r w:rsidRPr="005C10C5">
        <w:t xml:space="preserve">), </w:t>
      </w:r>
      <w:r w:rsidRPr="005C10C5">
        <w:rPr>
          <w:i/>
          <w:iCs/>
        </w:rPr>
        <w:t>Loyalties: Symposia Series</w:t>
      </w:r>
      <w:r w:rsidRPr="005C10C5">
        <w:t xml:space="preserve"> (API Network Press, 2005) 23</w:t>
      </w:r>
    </w:p>
    <w:p w14:paraId="50B23478" w14:textId="77777777" w:rsidR="00FC458C" w:rsidRPr="005C10C5" w:rsidRDefault="00FC458C" w:rsidP="00FC458C">
      <w:pPr>
        <w:spacing w:after="120" w:line="480" w:lineRule="auto"/>
        <w:ind w:left="720" w:hanging="720"/>
        <w:outlineLvl w:val="0"/>
      </w:pPr>
      <w:r w:rsidRPr="005C10C5">
        <w:t xml:space="preserve">Rubenstein, Kim, </w:t>
      </w:r>
      <w:r w:rsidRPr="005C10C5">
        <w:rPr>
          <w:i/>
          <w:iCs/>
        </w:rPr>
        <w:t xml:space="preserve">Australian Citizenship Law </w:t>
      </w:r>
      <w:r w:rsidRPr="005C10C5">
        <w:t xml:space="preserve">(Thomson Reuters, 2nd </w:t>
      </w:r>
      <w:proofErr w:type="spellStart"/>
      <w:r w:rsidRPr="005C10C5">
        <w:t>ed</w:t>
      </w:r>
      <w:proofErr w:type="spellEnd"/>
      <w:r w:rsidRPr="005C10C5">
        <w:t>, 2016)</w:t>
      </w:r>
    </w:p>
    <w:p w14:paraId="5F93B11D" w14:textId="77777777" w:rsidR="00FC458C" w:rsidRPr="005C10C5" w:rsidRDefault="00FC458C" w:rsidP="00FC458C">
      <w:pPr>
        <w:spacing w:after="120" w:line="480" w:lineRule="auto"/>
        <w:ind w:left="720" w:hanging="720"/>
        <w:outlineLvl w:val="0"/>
      </w:pPr>
      <w:r w:rsidRPr="005C10C5">
        <w:lastRenderedPageBreak/>
        <w:t xml:space="preserve">Rubenstein, Kim, </w:t>
      </w:r>
      <w:r w:rsidRPr="005C10C5">
        <w:rPr>
          <w:i/>
          <w:iCs/>
        </w:rPr>
        <w:t>Australian Citizenship Law in Context</w:t>
      </w:r>
      <w:r w:rsidRPr="005C10C5">
        <w:t xml:space="preserve"> (Lawbook 2002) 38</w:t>
      </w:r>
    </w:p>
    <w:p w14:paraId="3FFE975A" w14:textId="77777777" w:rsidR="00FC458C" w:rsidRPr="005C10C5" w:rsidRDefault="00FC458C" w:rsidP="00FC458C">
      <w:pPr>
        <w:spacing w:after="120" w:line="480" w:lineRule="auto"/>
        <w:ind w:left="720" w:hanging="720"/>
        <w:outlineLvl w:val="0"/>
      </w:pPr>
      <w:r w:rsidRPr="005C10C5">
        <w:t xml:space="preserve">Russell, Peter H, </w:t>
      </w:r>
      <w:r w:rsidRPr="005C10C5">
        <w:rPr>
          <w:i/>
          <w:iCs/>
        </w:rPr>
        <w:t>Recognising Aboriginal Title: The Mabo Case and Indigenous Resistance to English-Settler Colonialism</w:t>
      </w:r>
      <w:r w:rsidRPr="005C10C5">
        <w:t xml:space="preserve"> (UNSW Press, 2006)</w:t>
      </w:r>
    </w:p>
    <w:p w14:paraId="25012E2A" w14:textId="77777777" w:rsidR="00FC458C" w:rsidRPr="005C10C5" w:rsidRDefault="00FC458C" w:rsidP="00FC458C">
      <w:pPr>
        <w:spacing w:after="120" w:line="480" w:lineRule="auto"/>
        <w:ind w:left="720" w:hanging="720"/>
        <w:outlineLvl w:val="0"/>
      </w:pPr>
      <w:r w:rsidRPr="005C10C5">
        <w:t xml:space="preserve">Salmond, J W, ‘Citizenship and Allegiance’ (1902) 18 </w:t>
      </w:r>
      <w:r w:rsidRPr="005C10C5">
        <w:rPr>
          <w:i/>
          <w:iCs/>
        </w:rPr>
        <w:t>Law Quarterly Review</w:t>
      </w:r>
      <w:r w:rsidRPr="005C10C5">
        <w:t xml:space="preserve"> 49</w:t>
      </w:r>
    </w:p>
    <w:p w14:paraId="3954CC43" w14:textId="77777777" w:rsidR="00FC458C" w:rsidRPr="005C10C5" w:rsidRDefault="00FC458C" w:rsidP="00FC458C">
      <w:pPr>
        <w:spacing w:after="120" w:line="480" w:lineRule="auto"/>
        <w:ind w:left="720" w:hanging="720"/>
      </w:pPr>
      <w:r w:rsidRPr="005C10C5">
        <w:t xml:space="preserve">Senate Standing Committee on Constitutional and Legal Affairs, Parliament of Australia, </w:t>
      </w:r>
      <w:r w:rsidRPr="005C10C5">
        <w:rPr>
          <w:i/>
          <w:iCs/>
        </w:rPr>
        <w:t>The Constitutional Qualifications of Members of Parliament</w:t>
      </w:r>
      <w:r w:rsidRPr="005C10C5">
        <w:t xml:space="preserve"> (1981)</w:t>
      </w:r>
    </w:p>
    <w:p w14:paraId="052CF95D" w14:textId="77777777" w:rsidR="00FC458C" w:rsidRPr="005C10C5" w:rsidRDefault="00FC458C" w:rsidP="00FC458C">
      <w:pPr>
        <w:spacing w:after="120" w:line="480" w:lineRule="auto"/>
        <w:ind w:left="720" w:hanging="720"/>
        <w:outlineLvl w:val="0"/>
      </w:pPr>
      <w:proofErr w:type="spellStart"/>
      <w:r w:rsidRPr="005C10C5">
        <w:t>Shachar</w:t>
      </w:r>
      <w:proofErr w:type="spellEnd"/>
      <w:r w:rsidRPr="005C10C5">
        <w:t xml:space="preserve"> </w:t>
      </w:r>
      <w:proofErr w:type="spellStart"/>
      <w:r w:rsidRPr="005C10C5">
        <w:t>Ayelet</w:t>
      </w:r>
      <w:proofErr w:type="spellEnd"/>
      <w:r w:rsidRPr="005C10C5">
        <w:t xml:space="preserve"> et al (</w:t>
      </w:r>
      <w:proofErr w:type="spellStart"/>
      <w:r w:rsidRPr="005C10C5">
        <w:t>eds</w:t>
      </w:r>
      <w:proofErr w:type="spellEnd"/>
      <w:r w:rsidRPr="005C10C5">
        <w:t xml:space="preserve">), </w:t>
      </w:r>
      <w:r w:rsidRPr="005C10C5">
        <w:rPr>
          <w:i/>
          <w:iCs/>
        </w:rPr>
        <w:t>The Oxford Handbook of Citizenship</w:t>
      </w:r>
      <w:r w:rsidRPr="005C10C5">
        <w:t xml:space="preserve"> (Oxford University Press, 2017)</w:t>
      </w:r>
    </w:p>
    <w:p w14:paraId="29672227" w14:textId="77777777" w:rsidR="00FC458C" w:rsidRPr="005C10C5" w:rsidRDefault="00FC458C" w:rsidP="00FC458C">
      <w:pPr>
        <w:spacing w:after="120" w:line="480" w:lineRule="auto"/>
        <w:ind w:left="720" w:hanging="720"/>
        <w:outlineLvl w:val="0"/>
      </w:pPr>
      <w:r w:rsidRPr="005C10C5">
        <w:t xml:space="preserve">Shearer, Ivan and Brian </w:t>
      </w:r>
      <w:proofErr w:type="spellStart"/>
      <w:r w:rsidRPr="005C10C5">
        <w:t>Opeskin</w:t>
      </w:r>
      <w:proofErr w:type="spellEnd"/>
      <w:r w:rsidRPr="005C10C5">
        <w:t xml:space="preserve">, ‘Nationality and Statelessness’ in Brian </w:t>
      </w:r>
      <w:proofErr w:type="spellStart"/>
      <w:r w:rsidRPr="005C10C5">
        <w:t>Opeskin</w:t>
      </w:r>
      <w:proofErr w:type="spellEnd"/>
      <w:r w:rsidRPr="005C10C5">
        <w:t xml:space="preserve">, Richard </w:t>
      </w:r>
      <w:proofErr w:type="spellStart"/>
      <w:r w:rsidRPr="005C10C5">
        <w:t>Perruchoud</w:t>
      </w:r>
      <w:proofErr w:type="spellEnd"/>
      <w:r w:rsidRPr="005C10C5">
        <w:t xml:space="preserve"> and </w:t>
      </w:r>
      <w:proofErr w:type="spellStart"/>
      <w:r w:rsidRPr="005C10C5">
        <w:t>Jillyanne</w:t>
      </w:r>
      <w:proofErr w:type="spellEnd"/>
      <w:r w:rsidRPr="005C10C5">
        <w:t xml:space="preserve"> Redpath-Cross (</w:t>
      </w:r>
      <w:proofErr w:type="spellStart"/>
      <w:r w:rsidRPr="005C10C5">
        <w:t>eds</w:t>
      </w:r>
      <w:proofErr w:type="spellEnd"/>
      <w:r w:rsidRPr="005C10C5">
        <w:t xml:space="preserve">), </w:t>
      </w:r>
      <w:r w:rsidRPr="005C10C5">
        <w:rPr>
          <w:i/>
          <w:iCs/>
        </w:rPr>
        <w:t>Foundations of International Migration Law</w:t>
      </w:r>
      <w:r w:rsidRPr="005C10C5">
        <w:t xml:space="preserve"> (Cambridge University Press, 2012) 93</w:t>
      </w:r>
    </w:p>
    <w:p w14:paraId="749602F0" w14:textId="77777777" w:rsidR="00FC458C" w:rsidRPr="005C10C5" w:rsidRDefault="00FC458C" w:rsidP="00FC458C">
      <w:pPr>
        <w:spacing w:after="120" w:line="480" w:lineRule="auto"/>
        <w:ind w:left="720" w:hanging="720"/>
        <w:outlineLvl w:val="0"/>
      </w:pPr>
      <w:r w:rsidRPr="005C10C5">
        <w:t xml:space="preserve">Spiro, Peter J, ‘A New International Law of Citizenship’ (2011) 105 </w:t>
      </w:r>
      <w:r w:rsidRPr="005C10C5">
        <w:rPr>
          <w:i/>
          <w:iCs/>
        </w:rPr>
        <w:t>American Journal of International Law</w:t>
      </w:r>
      <w:r w:rsidRPr="005C10C5">
        <w:t xml:space="preserve"> 694</w:t>
      </w:r>
    </w:p>
    <w:p w14:paraId="39FBAA0C" w14:textId="77777777" w:rsidR="00FC458C" w:rsidRPr="005C10C5" w:rsidRDefault="00FC458C" w:rsidP="00FC458C">
      <w:pPr>
        <w:spacing w:after="120" w:line="480" w:lineRule="auto"/>
        <w:ind w:left="720" w:hanging="720"/>
        <w:outlineLvl w:val="0"/>
      </w:pPr>
      <w:r w:rsidRPr="005C10C5">
        <w:t xml:space="preserve"> Spiro, Peter J, ‘Dual Nationality and the Meaning of Citizenship’ (1997) 46(4) </w:t>
      </w:r>
      <w:r w:rsidRPr="005C10C5">
        <w:rPr>
          <w:i/>
          <w:iCs/>
        </w:rPr>
        <w:t>Emory Law Journal</w:t>
      </w:r>
      <w:r w:rsidRPr="005C10C5">
        <w:t xml:space="preserve"> 1411</w:t>
      </w:r>
    </w:p>
    <w:p w14:paraId="06B767C1" w14:textId="77777777" w:rsidR="00FC458C" w:rsidRPr="005C10C5" w:rsidRDefault="00FC458C" w:rsidP="00FC458C">
      <w:pPr>
        <w:spacing w:after="120" w:line="480" w:lineRule="auto"/>
        <w:ind w:left="720" w:hanging="720"/>
      </w:pPr>
      <w:r w:rsidRPr="005C10C5">
        <w:t xml:space="preserve">Standing Committee on Legal and Constitutional Affairs, Parliament of Australia, </w:t>
      </w:r>
      <w:r w:rsidRPr="005C10C5">
        <w:rPr>
          <w:i/>
          <w:iCs/>
        </w:rPr>
        <w:t>Report on sections 44(</w:t>
      </w:r>
      <w:proofErr w:type="spellStart"/>
      <w:r w:rsidRPr="005C10C5">
        <w:rPr>
          <w:i/>
          <w:iCs/>
        </w:rPr>
        <w:t>i</w:t>
      </w:r>
      <w:proofErr w:type="spellEnd"/>
      <w:r w:rsidRPr="005C10C5">
        <w:rPr>
          <w:i/>
          <w:iCs/>
        </w:rPr>
        <w:t>) and (iv)</w:t>
      </w:r>
      <w:r w:rsidRPr="005C10C5">
        <w:t xml:space="preserve"> (1997)</w:t>
      </w:r>
    </w:p>
    <w:p w14:paraId="4513FEFA" w14:textId="77777777" w:rsidR="00FC458C" w:rsidRPr="005C10C5" w:rsidRDefault="00FC458C" w:rsidP="00FC458C">
      <w:pPr>
        <w:spacing w:after="120" w:line="480" w:lineRule="auto"/>
        <w:ind w:left="720" w:hanging="720"/>
        <w:outlineLvl w:val="0"/>
      </w:pPr>
      <w:r w:rsidRPr="005C10C5">
        <w:t>Thornton, Margaret, ‘Legal Citizenship’ in Wayne Hudson and John Kane (</w:t>
      </w:r>
      <w:proofErr w:type="spellStart"/>
      <w:r w:rsidRPr="005C10C5">
        <w:t>eds</w:t>
      </w:r>
      <w:proofErr w:type="spellEnd"/>
      <w:r w:rsidRPr="005C10C5">
        <w:t xml:space="preserve">) </w:t>
      </w:r>
      <w:r w:rsidRPr="005C10C5">
        <w:rPr>
          <w:i/>
          <w:iCs/>
        </w:rPr>
        <w:t>Rethinking Australian Citizenship</w:t>
      </w:r>
      <w:r w:rsidRPr="005C10C5">
        <w:t xml:space="preserve"> (Cambridge University Press, 2000) 118</w:t>
      </w:r>
    </w:p>
    <w:p w14:paraId="2B298893" w14:textId="77777777" w:rsidR="00FC458C" w:rsidRPr="005C10C5" w:rsidRDefault="00FC458C" w:rsidP="00FC458C">
      <w:pPr>
        <w:spacing w:after="120" w:line="480" w:lineRule="auto"/>
        <w:ind w:left="720" w:hanging="720"/>
        <w:outlineLvl w:val="0"/>
      </w:pPr>
      <w:r w:rsidRPr="005C10C5">
        <w:t xml:space="preserve"> Twomey, Anne, ‘Independence’ in Cheryl Saunders, Adrienne Stone (</w:t>
      </w:r>
      <w:proofErr w:type="spellStart"/>
      <w:r w:rsidRPr="005C10C5">
        <w:t>eds</w:t>
      </w:r>
      <w:proofErr w:type="spellEnd"/>
      <w:r w:rsidRPr="005C10C5">
        <w:t>), </w:t>
      </w:r>
      <w:r w:rsidRPr="005C10C5">
        <w:rPr>
          <w:i/>
          <w:iCs/>
        </w:rPr>
        <w:t>The Oxford Handbook of the Australian Constitution</w:t>
      </w:r>
      <w:r w:rsidRPr="005C10C5">
        <w:t xml:space="preserve"> (Oxford University Press, 2018) 96</w:t>
      </w:r>
    </w:p>
    <w:p w14:paraId="73693B60" w14:textId="77777777" w:rsidR="00FC458C" w:rsidRPr="005C10C5" w:rsidRDefault="00FC458C" w:rsidP="00FC458C">
      <w:pPr>
        <w:spacing w:after="120" w:line="480" w:lineRule="auto"/>
        <w:ind w:left="720" w:hanging="720"/>
        <w:outlineLvl w:val="0"/>
      </w:pPr>
      <w:r w:rsidRPr="005C10C5">
        <w:t xml:space="preserve"> Twomey, Anne, </w:t>
      </w:r>
      <w:r w:rsidRPr="005C10C5">
        <w:rPr>
          <w:i/>
          <w:iCs/>
        </w:rPr>
        <w:t>The Australia Acts 1986: Australia's Statutes of Independence</w:t>
      </w:r>
      <w:r w:rsidRPr="005C10C5">
        <w:t xml:space="preserve"> (The Federation Press, 2010) 453.</w:t>
      </w:r>
    </w:p>
    <w:p w14:paraId="2717D91F" w14:textId="77777777" w:rsidR="00FC458C" w:rsidRPr="005C10C5" w:rsidRDefault="00FC458C" w:rsidP="00FC458C">
      <w:pPr>
        <w:spacing w:after="120" w:line="480" w:lineRule="auto"/>
        <w:ind w:left="720" w:hanging="720"/>
        <w:outlineLvl w:val="0"/>
      </w:pPr>
      <w:proofErr w:type="spellStart"/>
      <w:r w:rsidRPr="005C10C5">
        <w:lastRenderedPageBreak/>
        <w:t>Vink</w:t>
      </w:r>
      <w:proofErr w:type="spellEnd"/>
      <w:r w:rsidRPr="005C10C5">
        <w:t xml:space="preserve">, Maarten, ‘Comparing Citizenship Regimes’ in </w:t>
      </w:r>
      <w:proofErr w:type="spellStart"/>
      <w:r w:rsidRPr="005C10C5">
        <w:t>Ayelet</w:t>
      </w:r>
      <w:proofErr w:type="spellEnd"/>
      <w:r w:rsidRPr="005C10C5">
        <w:t xml:space="preserve"> </w:t>
      </w:r>
      <w:proofErr w:type="spellStart"/>
      <w:r w:rsidRPr="005C10C5">
        <w:t>Shachar</w:t>
      </w:r>
      <w:proofErr w:type="spellEnd"/>
      <w:r w:rsidRPr="005C10C5">
        <w:t xml:space="preserve"> et al (</w:t>
      </w:r>
      <w:proofErr w:type="spellStart"/>
      <w:r w:rsidRPr="005C10C5">
        <w:t>eds</w:t>
      </w:r>
      <w:proofErr w:type="spellEnd"/>
      <w:r w:rsidRPr="005C10C5">
        <w:t xml:space="preserve">), </w:t>
      </w:r>
      <w:r w:rsidRPr="005C10C5">
        <w:rPr>
          <w:i/>
          <w:iCs/>
        </w:rPr>
        <w:t>The Oxford Handbook of Citizenship</w:t>
      </w:r>
      <w:r w:rsidRPr="005C10C5">
        <w:t xml:space="preserve"> (Oxford University Press, 2017) 221</w:t>
      </w:r>
    </w:p>
    <w:p w14:paraId="58F14EDB" w14:textId="77777777" w:rsidR="00FC458C" w:rsidRPr="005C10C5" w:rsidRDefault="00FC458C" w:rsidP="00FC458C">
      <w:pPr>
        <w:spacing w:after="120" w:line="480" w:lineRule="auto"/>
        <w:ind w:left="720" w:hanging="720"/>
        <w:outlineLvl w:val="0"/>
      </w:pPr>
      <w:proofErr w:type="spellStart"/>
      <w:r w:rsidRPr="005C10C5">
        <w:t>Volpp</w:t>
      </w:r>
      <w:proofErr w:type="spellEnd"/>
      <w:r w:rsidRPr="005C10C5">
        <w:t xml:space="preserve">, </w:t>
      </w:r>
      <w:proofErr w:type="spellStart"/>
      <w:r w:rsidRPr="005C10C5">
        <w:t>Leti</w:t>
      </w:r>
      <w:proofErr w:type="spellEnd"/>
      <w:r w:rsidRPr="005C10C5">
        <w:t xml:space="preserve"> ‘Feminist, Sexual, and Queer Citizenship’ in in </w:t>
      </w:r>
      <w:proofErr w:type="spellStart"/>
      <w:r w:rsidRPr="005C10C5">
        <w:t>Ayelet</w:t>
      </w:r>
      <w:proofErr w:type="spellEnd"/>
      <w:r w:rsidRPr="005C10C5">
        <w:t xml:space="preserve"> </w:t>
      </w:r>
      <w:proofErr w:type="spellStart"/>
      <w:r w:rsidRPr="005C10C5">
        <w:t>Shachar</w:t>
      </w:r>
      <w:proofErr w:type="spellEnd"/>
      <w:r w:rsidRPr="005C10C5">
        <w:t xml:space="preserve"> et al (</w:t>
      </w:r>
      <w:proofErr w:type="spellStart"/>
      <w:r w:rsidRPr="005C10C5">
        <w:t>eds</w:t>
      </w:r>
      <w:proofErr w:type="spellEnd"/>
      <w:r w:rsidRPr="005C10C5">
        <w:t xml:space="preserve">), </w:t>
      </w:r>
      <w:r w:rsidRPr="005C10C5">
        <w:rPr>
          <w:i/>
          <w:iCs/>
        </w:rPr>
        <w:t>The Oxford Handbook of Citizenship</w:t>
      </w:r>
      <w:r w:rsidRPr="005C10C5">
        <w:t xml:space="preserve"> (Oxford University Press, 2017) 153.</w:t>
      </w:r>
    </w:p>
    <w:p w14:paraId="3C6B042C" w14:textId="77777777" w:rsidR="00FC458C" w:rsidRPr="005C10C5" w:rsidRDefault="00FC458C" w:rsidP="00FC458C">
      <w:pPr>
        <w:spacing w:after="120" w:line="480" w:lineRule="auto"/>
        <w:ind w:left="720" w:hanging="720"/>
        <w:outlineLvl w:val="0"/>
      </w:pPr>
      <w:r w:rsidRPr="005C10C5">
        <w:t xml:space="preserve">Willard, Myra, </w:t>
      </w:r>
      <w:r w:rsidRPr="005C10C5">
        <w:rPr>
          <w:i/>
          <w:iCs/>
        </w:rPr>
        <w:t>History of the White Australia Policy to 1920</w:t>
      </w:r>
      <w:r w:rsidRPr="005C10C5">
        <w:t xml:space="preserve"> (Melbourne University Press, 2nd </w:t>
      </w:r>
      <w:proofErr w:type="spellStart"/>
      <w:r w:rsidRPr="005C10C5">
        <w:t>ed</w:t>
      </w:r>
      <w:proofErr w:type="spellEnd"/>
      <w:r w:rsidRPr="005C10C5">
        <w:t>, 1978)</w:t>
      </w:r>
    </w:p>
    <w:p w14:paraId="708BD2F0" w14:textId="77777777" w:rsidR="00FC458C" w:rsidRDefault="00FC458C" w:rsidP="00FC458C">
      <w:pPr>
        <w:spacing w:after="120" w:line="480" w:lineRule="auto"/>
        <w:ind w:left="720" w:hanging="720"/>
        <w:outlineLvl w:val="0"/>
      </w:pPr>
      <w:r w:rsidRPr="005C10C5">
        <w:t xml:space="preserve">Windeyer, Victor, ‘A Birthright and Inheritance, the Establishment of the Rule of Law in Australia’ (1962) </w:t>
      </w:r>
      <w:r w:rsidRPr="005C10C5">
        <w:rPr>
          <w:i/>
          <w:iCs/>
        </w:rPr>
        <w:t>1 University of Tasmania Law Review</w:t>
      </w:r>
      <w:r w:rsidRPr="005C10C5">
        <w:t xml:space="preserve"> 635</w:t>
      </w:r>
    </w:p>
    <w:p w14:paraId="3F2841EA" w14:textId="77777777" w:rsidR="00FC458C" w:rsidRPr="005C10C5" w:rsidRDefault="00FC458C" w:rsidP="00FC458C">
      <w:pPr>
        <w:spacing w:after="120" w:line="480" w:lineRule="auto"/>
        <w:ind w:left="720" w:hanging="720"/>
        <w:outlineLvl w:val="0"/>
      </w:pPr>
    </w:p>
    <w:p w14:paraId="06758A40" w14:textId="77777777" w:rsidR="00FC458C" w:rsidRPr="005C10C5" w:rsidRDefault="00FC458C" w:rsidP="00FC458C">
      <w:pPr>
        <w:spacing w:after="120" w:line="480" w:lineRule="auto"/>
        <w:jc w:val="center"/>
      </w:pPr>
      <w:r w:rsidRPr="005C10C5">
        <w:t xml:space="preserve">B </w:t>
      </w:r>
      <w:r w:rsidRPr="005C10C5">
        <w:rPr>
          <w:i/>
          <w:iCs/>
        </w:rPr>
        <w:t>Cases</w:t>
      </w:r>
    </w:p>
    <w:p w14:paraId="66455D5D" w14:textId="77777777" w:rsidR="00FC458C" w:rsidRPr="005C10C5" w:rsidRDefault="00FC458C" w:rsidP="00FC458C">
      <w:pPr>
        <w:spacing w:after="120" w:line="480" w:lineRule="auto"/>
        <w:ind w:left="720" w:hanging="720"/>
      </w:pPr>
      <w:r w:rsidRPr="005C10C5">
        <w:rPr>
          <w:i/>
          <w:iCs/>
        </w:rPr>
        <w:t>Ah Yin v Christie</w:t>
      </w:r>
      <w:r w:rsidRPr="005C10C5">
        <w:t xml:space="preserve"> (1907) 4 CLR 1428</w:t>
      </w:r>
    </w:p>
    <w:p w14:paraId="0E1BA7C2" w14:textId="77777777" w:rsidR="00FC458C" w:rsidRPr="005C10C5" w:rsidRDefault="00FC458C" w:rsidP="00FC458C">
      <w:pPr>
        <w:spacing w:after="120" w:line="480" w:lineRule="auto"/>
        <w:ind w:left="720" w:hanging="720"/>
      </w:pPr>
      <w:r w:rsidRPr="005C10C5">
        <w:rPr>
          <w:i/>
          <w:iCs/>
        </w:rPr>
        <w:t xml:space="preserve">Chung </w:t>
      </w:r>
      <w:proofErr w:type="spellStart"/>
      <w:r w:rsidRPr="005C10C5">
        <w:rPr>
          <w:i/>
          <w:iCs/>
        </w:rPr>
        <w:t>Teong</w:t>
      </w:r>
      <w:proofErr w:type="spellEnd"/>
      <w:r w:rsidRPr="005C10C5">
        <w:rPr>
          <w:i/>
          <w:iCs/>
        </w:rPr>
        <w:t xml:space="preserve"> Toy v Musgrove</w:t>
      </w:r>
      <w:r>
        <w:t xml:space="preserve"> </w:t>
      </w:r>
      <w:r w:rsidRPr="005C10C5">
        <w:t>(1888) 1 NSWLR 269.</w:t>
      </w:r>
    </w:p>
    <w:p w14:paraId="233471E8" w14:textId="77777777" w:rsidR="00FC458C" w:rsidRPr="005C10C5" w:rsidRDefault="00FC458C" w:rsidP="00FC458C">
      <w:pPr>
        <w:spacing w:after="120" w:line="480" w:lineRule="auto"/>
        <w:ind w:left="720" w:hanging="720"/>
      </w:pPr>
      <w:r w:rsidRPr="005C10C5">
        <w:rPr>
          <w:i/>
          <w:iCs/>
        </w:rPr>
        <w:t>Donohoe v Wong Sau</w:t>
      </w:r>
      <w:r w:rsidRPr="005C10C5">
        <w:t xml:space="preserve"> (1925) 36 CLR 404 </w:t>
      </w:r>
    </w:p>
    <w:p w14:paraId="35F5E6BF" w14:textId="77777777" w:rsidR="00FC458C" w:rsidRPr="005C10C5" w:rsidRDefault="00FC458C" w:rsidP="00FC458C">
      <w:pPr>
        <w:spacing w:after="120" w:line="480" w:lineRule="auto"/>
        <w:ind w:left="720" w:hanging="720"/>
      </w:pPr>
      <w:r w:rsidRPr="005C10C5">
        <w:rPr>
          <w:i/>
          <w:iCs/>
        </w:rPr>
        <w:t>Kioa v West</w:t>
      </w:r>
      <w:r w:rsidRPr="005C10C5">
        <w:t xml:space="preserve"> (1985) 159 CLR 550.</w:t>
      </w:r>
    </w:p>
    <w:p w14:paraId="410E1E0A" w14:textId="77777777" w:rsidR="00FC458C" w:rsidRPr="005C10C5" w:rsidRDefault="00FC458C" w:rsidP="00FC458C">
      <w:pPr>
        <w:spacing w:after="120" w:line="480" w:lineRule="auto"/>
        <w:ind w:left="720" w:hanging="720"/>
      </w:pPr>
      <w:r w:rsidRPr="005C10C5">
        <w:rPr>
          <w:i/>
          <w:iCs/>
        </w:rPr>
        <w:t>Mabo v Queensland (No 2)</w:t>
      </w:r>
      <w:r w:rsidRPr="005C10C5">
        <w:t xml:space="preserve"> (1992) 175 CLR 1</w:t>
      </w:r>
    </w:p>
    <w:p w14:paraId="2AF4D315" w14:textId="77777777" w:rsidR="00FC458C" w:rsidRPr="005C10C5" w:rsidRDefault="00FC458C" w:rsidP="00FC458C">
      <w:pPr>
        <w:spacing w:after="120" w:line="480" w:lineRule="auto"/>
        <w:ind w:left="720" w:hanging="720"/>
      </w:pPr>
      <w:r w:rsidRPr="005C10C5">
        <w:rPr>
          <w:i/>
          <w:iCs/>
        </w:rPr>
        <w:t xml:space="preserve">Potter v </w:t>
      </w:r>
      <w:proofErr w:type="spellStart"/>
      <w:r w:rsidRPr="005C10C5">
        <w:rPr>
          <w:i/>
          <w:iCs/>
        </w:rPr>
        <w:t>Minahan</w:t>
      </w:r>
      <w:proofErr w:type="spellEnd"/>
      <w:r w:rsidRPr="005C10C5">
        <w:t xml:space="preserve"> (1908) 7 CLR 277</w:t>
      </w:r>
    </w:p>
    <w:p w14:paraId="0D5286DA" w14:textId="77777777" w:rsidR="00FC458C" w:rsidRPr="005C10C5" w:rsidRDefault="00FC458C" w:rsidP="00FC458C">
      <w:pPr>
        <w:spacing w:after="120" w:line="480" w:lineRule="auto"/>
        <w:ind w:left="720" w:hanging="720"/>
      </w:pPr>
      <w:r w:rsidRPr="005C10C5">
        <w:rPr>
          <w:i/>
          <w:iCs/>
        </w:rPr>
        <w:t>R v Ballard</w:t>
      </w:r>
      <w:r w:rsidRPr="005C10C5">
        <w:t xml:space="preserve"> [1829] </w:t>
      </w:r>
      <w:proofErr w:type="spellStart"/>
      <w:r w:rsidRPr="005C10C5">
        <w:t>NSWSupC</w:t>
      </w:r>
      <w:proofErr w:type="spellEnd"/>
      <w:r w:rsidRPr="005C10C5">
        <w:t xml:space="preserve"> 26, 13 June 1829, Macquarie University Division of Law, Decisions of the Superior Courts of New South Wales, 1788-1899</w:t>
      </w:r>
    </w:p>
    <w:p w14:paraId="320C11D8" w14:textId="77777777" w:rsidR="00FC458C" w:rsidRPr="005C10C5" w:rsidRDefault="00FC458C" w:rsidP="00FC458C">
      <w:pPr>
        <w:spacing w:after="120" w:line="480" w:lineRule="auto"/>
        <w:ind w:left="720" w:hanging="720"/>
      </w:pPr>
      <w:r w:rsidRPr="005C10C5">
        <w:rPr>
          <w:i/>
          <w:iCs/>
        </w:rPr>
        <w:t xml:space="preserve">R v </w:t>
      </w:r>
      <w:proofErr w:type="spellStart"/>
      <w:r w:rsidRPr="005C10C5">
        <w:rPr>
          <w:i/>
          <w:iCs/>
        </w:rPr>
        <w:t>Bonjon</w:t>
      </w:r>
      <w:proofErr w:type="spellEnd"/>
      <w:r w:rsidRPr="005C10C5">
        <w:t xml:space="preserve"> [1841] SW Sup Ct, Port Phillip District (16 September 1841) Macquarie University Division of Law, Decisions of the Superior Courts of New South Wales 1788-1899. </w:t>
      </w:r>
    </w:p>
    <w:p w14:paraId="14154B3C" w14:textId="77777777" w:rsidR="00FC458C" w:rsidRPr="005C10C5" w:rsidRDefault="00FC458C" w:rsidP="00FC458C">
      <w:pPr>
        <w:spacing w:after="120" w:line="480" w:lineRule="auto"/>
        <w:ind w:left="720" w:hanging="720"/>
      </w:pPr>
      <w:r w:rsidRPr="005C10C5">
        <w:rPr>
          <w:i/>
          <w:iCs/>
        </w:rPr>
        <w:t xml:space="preserve">R v Foreign Secretary; Ex </w:t>
      </w:r>
      <w:proofErr w:type="spellStart"/>
      <w:r w:rsidRPr="005C10C5">
        <w:rPr>
          <w:i/>
          <w:iCs/>
        </w:rPr>
        <w:t>parte</w:t>
      </w:r>
      <w:proofErr w:type="spellEnd"/>
      <w:r w:rsidRPr="005C10C5">
        <w:rPr>
          <w:i/>
          <w:iCs/>
        </w:rPr>
        <w:t xml:space="preserve"> Indian Association</w:t>
      </w:r>
      <w:r w:rsidRPr="005C10C5">
        <w:t xml:space="preserve"> [1982] QB 892</w:t>
      </w:r>
    </w:p>
    <w:p w14:paraId="0FF40661" w14:textId="77777777" w:rsidR="00FC458C" w:rsidRPr="005C10C5" w:rsidRDefault="00FC458C" w:rsidP="00FC458C">
      <w:pPr>
        <w:spacing w:after="120" w:line="480" w:lineRule="auto"/>
        <w:ind w:left="720" w:hanging="720"/>
      </w:pPr>
      <w:r w:rsidRPr="005C10C5">
        <w:rPr>
          <w:i/>
          <w:iCs/>
        </w:rPr>
        <w:lastRenderedPageBreak/>
        <w:t>R v Lowe</w:t>
      </w:r>
      <w:r w:rsidRPr="005C10C5">
        <w:t xml:space="preserve"> [1827] </w:t>
      </w:r>
      <w:proofErr w:type="spellStart"/>
      <w:r w:rsidRPr="005C10C5">
        <w:t>NSWSupC</w:t>
      </w:r>
      <w:proofErr w:type="spellEnd"/>
      <w:r w:rsidRPr="005C10C5">
        <w:t xml:space="preserve"> 32</w:t>
      </w:r>
    </w:p>
    <w:p w14:paraId="1FA578F4" w14:textId="77777777" w:rsidR="00FC458C" w:rsidRPr="005C10C5" w:rsidRDefault="00FC458C" w:rsidP="00FC458C">
      <w:pPr>
        <w:spacing w:after="120" w:line="480" w:lineRule="auto"/>
        <w:ind w:left="720" w:hanging="720"/>
      </w:pPr>
      <w:r w:rsidRPr="005C10C5">
        <w:rPr>
          <w:i/>
          <w:iCs/>
        </w:rPr>
        <w:t>R v Murrell</w:t>
      </w:r>
      <w:r w:rsidRPr="005C10C5">
        <w:t xml:space="preserve"> [1836] </w:t>
      </w:r>
      <w:proofErr w:type="spellStart"/>
      <w:r w:rsidRPr="005C10C5">
        <w:t>NSWSupC</w:t>
      </w:r>
      <w:proofErr w:type="spellEnd"/>
      <w:r w:rsidRPr="005C10C5">
        <w:t xml:space="preserve"> 35</w:t>
      </w:r>
    </w:p>
    <w:p w14:paraId="0C533F16" w14:textId="77777777" w:rsidR="00FC458C" w:rsidRPr="005C10C5" w:rsidRDefault="00FC458C" w:rsidP="00FC458C">
      <w:pPr>
        <w:spacing w:after="120" w:line="480" w:lineRule="auto"/>
        <w:ind w:left="720" w:hanging="720"/>
      </w:pPr>
      <w:r w:rsidRPr="005C10C5">
        <w:rPr>
          <w:i/>
          <w:iCs/>
        </w:rPr>
        <w:t>Singh v Commonwealth</w:t>
      </w:r>
      <w:r w:rsidRPr="005C10C5">
        <w:t xml:space="preserve"> (2004) 222 CLR 322</w:t>
      </w:r>
    </w:p>
    <w:p w14:paraId="6E1DE97E" w14:textId="77777777" w:rsidR="00FC458C" w:rsidRPr="005C10C5" w:rsidRDefault="00FC458C" w:rsidP="00FC458C">
      <w:pPr>
        <w:spacing w:after="120" w:line="480" w:lineRule="auto"/>
        <w:ind w:left="720" w:hanging="720"/>
      </w:pPr>
    </w:p>
    <w:p w14:paraId="0C93699B" w14:textId="77777777" w:rsidR="00FC458C" w:rsidRPr="005C10C5" w:rsidRDefault="00FC458C" w:rsidP="00FC458C">
      <w:pPr>
        <w:spacing w:after="120" w:line="480" w:lineRule="auto"/>
        <w:jc w:val="center"/>
        <w:rPr>
          <w:i/>
          <w:iCs/>
        </w:rPr>
      </w:pPr>
      <w:r w:rsidRPr="005C10C5">
        <w:t xml:space="preserve">C </w:t>
      </w:r>
      <w:r w:rsidRPr="005C10C5">
        <w:rPr>
          <w:i/>
          <w:iCs/>
        </w:rPr>
        <w:t>Legislation</w:t>
      </w:r>
    </w:p>
    <w:p w14:paraId="5B06D3E4" w14:textId="77777777" w:rsidR="00FC458C" w:rsidRPr="005C10C5" w:rsidRDefault="00FC458C" w:rsidP="00FC458C">
      <w:pPr>
        <w:spacing w:after="120" w:line="480" w:lineRule="auto"/>
        <w:ind w:left="720" w:hanging="720"/>
      </w:pPr>
      <w:r w:rsidRPr="005C10C5">
        <w:rPr>
          <w:i/>
          <w:iCs/>
        </w:rPr>
        <w:t>Australia Act 1986</w:t>
      </w:r>
      <w:r w:rsidRPr="005C10C5">
        <w:t xml:space="preserve"> (Cth)</w:t>
      </w:r>
    </w:p>
    <w:p w14:paraId="2FFBC8E4" w14:textId="77777777" w:rsidR="00FC458C" w:rsidRPr="005C10C5" w:rsidRDefault="00FC458C" w:rsidP="00FC458C">
      <w:pPr>
        <w:spacing w:after="120" w:line="480" w:lineRule="auto"/>
        <w:ind w:left="720" w:hanging="720"/>
      </w:pPr>
      <w:r w:rsidRPr="005C10C5">
        <w:rPr>
          <w:i/>
          <w:iCs/>
        </w:rPr>
        <w:t>Australia Act 1986</w:t>
      </w:r>
      <w:r w:rsidRPr="005C10C5">
        <w:t xml:space="preserve"> (UK)</w:t>
      </w:r>
    </w:p>
    <w:p w14:paraId="69569E5B" w14:textId="77777777" w:rsidR="00FC458C" w:rsidRPr="005C10C5" w:rsidRDefault="00FC458C" w:rsidP="00FC458C">
      <w:pPr>
        <w:spacing w:after="120" w:line="480" w:lineRule="auto"/>
        <w:ind w:left="720" w:hanging="720"/>
      </w:pPr>
      <w:r w:rsidRPr="005C10C5">
        <w:rPr>
          <w:i/>
          <w:iCs/>
        </w:rPr>
        <w:t>Australian Citizenship Act 1948</w:t>
      </w:r>
      <w:r w:rsidRPr="005C10C5">
        <w:t xml:space="preserve"> (Cth)</w:t>
      </w:r>
    </w:p>
    <w:p w14:paraId="3B05E67F" w14:textId="77777777" w:rsidR="00FC458C" w:rsidRPr="005C10C5" w:rsidRDefault="00FC458C" w:rsidP="00FC458C">
      <w:pPr>
        <w:spacing w:after="120" w:line="480" w:lineRule="auto"/>
        <w:ind w:left="720" w:hanging="720"/>
      </w:pPr>
      <w:r w:rsidRPr="005C10C5">
        <w:rPr>
          <w:i/>
          <w:iCs/>
        </w:rPr>
        <w:t>Australian Citizenship Act 2007</w:t>
      </w:r>
      <w:r w:rsidRPr="005C10C5">
        <w:t xml:space="preserve"> (Cth) </w:t>
      </w:r>
    </w:p>
    <w:p w14:paraId="7AC55C35" w14:textId="77777777" w:rsidR="00FC458C" w:rsidRPr="005C10C5" w:rsidRDefault="00FC458C" w:rsidP="00FC458C">
      <w:pPr>
        <w:spacing w:after="120" w:line="480" w:lineRule="auto"/>
        <w:ind w:left="720" w:hanging="720"/>
      </w:pPr>
      <w:r w:rsidRPr="005C10C5">
        <w:rPr>
          <w:i/>
          <w:iCs/>
        </w:rPr>
        <w:t>Australian Citizenship Amendment Act 1984</w:t>
      </w:r>
      <w:r w:rsidRPr="005C10C5">
        <w:t xml:space="preserve"> (Cth)</w:t>
      </w:r>
    </w:p>
    <w:p w14:paraId="006F63E7" w14:textId="77777777" w:rsidR="00FC458C" w:rsidRPr="005C10C5" w:rsidRDefault="00FC458C" w:rsidP="00FC458C">
      <w:pPr>
        <w:spacing w:after="120" w:line="480" w:lineRule="auto"/>
        <w:ind w:left="720" w:hanging="720"/>
      </w:pPr>
      <w:r w:rsidRPr="005C10C5">
        <w:rPr>
          <w:i/>
          <w:iCs/>
        </w:rPr>
        <w:t>Australian Citizenship Amendment Act 1986</w:t>
      </w:r>
      <w:r w:rsidRPr="005C10C5">
        <w:t xml:space="preserve"> (Cth)</w:t>
      </w:r>
    </w:p>
    <w:p w14:paraId="7439C134" w14:textId="77777777" w:rsidR="00FC458C" w:rsidRPr="005C10C5" w:rsidRDefault="00FC458C" w:rsidP="00FC458C">
      <w:pPr>
        <w:spacing w:after="120" w:line="480" w:lineRule="auto"/>
        <w:ind w:left="720" w:hanging="720"/>
        <w:rPr>
          <w:i/>
          <w:iCs/>
        </w:rPr>
      </w:pPr>
      <w:r w:rsidRPr="005C10C5">
        <w:rPr>
          <w:i/>
          <w:iCs/>
        </w:rPr>
        <w:t>Australian Constitution</w:t>
      </w:r>
    </w:p>
    <w:p w14:paraId="66B5DDAD" w14:textId="77777777" w:rsidR="00FC458C" w:rsidRPr="005C10C5" w:rsidRDefault="00FC458C" w:rsidP="00FC458C">
      <w:pPr>
        <w:spacing w:after="120" w:line="480" w:lineRule="auto"/>
        <w:ind w:left="720" w:hanging="720"/>
      </w:pPr>
      <w:r w:rsidRPr="005C10C5">
        <w:rPr>
          <w:i/>
          <w:iCs/>
        </w:rPr>
        <w:t>British Nationality Act 1981</w:t>
      </w:r>
      <w:r w:rsidRPr="005C10C5">
        <w:t xml:space="preserve"> (UK)</w:t>
      </w:r>
    </w:p>
    <w:p w14:paraId="6A06245D" w14:textId="77777777" w:rsidR="00FC458C" w:rsidRPr="005C10C5" w:rsidRDefault="00FC458C" w:rsidP="00FC458C">
      <w:pPr>
        <w:spacing w:after="120" w:line="480" w:lineRule="auto"/>
        <w:ind w:left="720" w:hanging="720"/>
      </w:pPr>
      <w:r w:rsidRPr="005C10C5">
        <w:rPr>
          <w:i/>
          <w:iCs/>
        </w:rPr>
        <w:t>British Nationality Act 1983</w:t>
      </w:r>
      <w:r w:rsidRPr="005C10C5">
        <w:t xml:space="preserve"> (UK)</w:t>
      </w:r>
    </w:p>
    <w:p w14:paraId="08AE00EB" w14:textId="77777777" w:rsidR="00FC458C" w:rsidRPr="005C10C5" w:rsidRDefault="00FC458C" w:rsidP="00FC458C">
      <w:pPr>
        <w:spacing w:after="120" w:line="480" w:lineRule="auto"/>
        <w:ind w:left="720" w:hanging="720"/>
      </w:pPr>
      <w:r w:rsidRPr="005C10C5">
        <w:rPr>
          <w:i/>
          <w:iCs/>
        </w:rPr>
        <w:t>Chinese Immigrants Act 1865</w:t>
      </w:r>
      <w:r w:rsidRPr="005C10C5">
        <w:t xml:space="preserve"> (Vic) </w:t>
      </w:r>
    </w:p>
    <w:p w14:paraId="1665F7E3" w14:textId="77777777" w:rsidR="00FC458C" w:rsidRPr="005C10C5" w:rsidRDefault="00FC458C" w:rsidP="00FC458C">
      <w:pPr>
        <w:spacing w:after="120" w:line="480" w:lineRule="auto"/>
        <w:ind w:left="720" w:hanging="720"/>
      </w:pPr>
      <w:r w:rsidRPr="005C10C5">
        <w:rPr>
          <w:i/>
          <w:iCs/>
        </w:rPr>
        <w:t>Chinese Immigrants Regulation Act 1877</w:t>
      </w:r>
      <w:r w:rsidRPr="005C10C5">
        <w:t xml:space="preserve"> (Qld)</w:t>
      </w:r>
    </w:p>
    <w:p w14:paraId="60E38200" w14:textId="77777777" w:rsidR="00FC458C" w:rsidRPr="005C10C5" w:rsidRDefault="00FC458C" w:rsidP="00FC458C">
      <w:pPr>
        <w:spacing w:after="120" w:line="480" w:lineRule="auto"/>
        <w:ind w:left="720" w:hanging="720"/>
      </w:pPr>
      <w:r w:rsidRPr="005C10C5">
        <w:rPr>
          <w:i/>
          <w:iCs/>
        </w:rPr>
        <w:t>Commonwealth Electoral Act 1918</w:t>
      </w:r>
      <w:r w:rsidRPr="005C10C5">
        <w:t xml:space="preserve"> (Cth) </w:t>
      </w:r>
    </w:p>
    <w:p w14:paraId="12FF1F3B" w14:textId="77777777" w:rsidR="00FC458C" w:rsidRPr="005C10C5" w:rsidRDefault="00FC458C" w:rsidP="00FC458C">
      <w:pPr>
        <w:spacing w:after="120" w:line="480" w:lineRule="auto"/>
        <w:ind w:left="720" w:hanging="720"/>
      </w:pPr>
      <w:r w:rsidRPr="005C10C5">
        <w:rPr>
          <w:i/>
          <w:iCs/>
        </w:rPr>
        <w:t>Draft Bill to Constitute the Commonwealth of Australia 1891</w:t>
      </w:r>
      <w:r w:rsidRPr="005C10C5">
        <w:t xml:space="preserve"> (Cth)</w:t>
      </w:r>
    </w:p>
    <w:p w14:paraId="605DDD1E" w14:textId="77777777" w:rsidR="00FC458C" w:rsidRPr="005C10C5" w:rsidRDefault="00FC458C" w:rsidP="00FC458C">
      <w:pPr>
        <w:spacing w:after="120" w:line="480" w:lineRule="auto"/>
        <w:ind w:left="720" w:hanging="720"/>
      </w:pPr>
      <w:r w:rsidRPr="005C10C5">
        <w:rPr>
          <w:i/>
          <w:iCs/>
        </w:rPr>
        <w:t>Evidence Act 1995</w:t>
      </w:r>
      <w:r w:rsidRPr="005C10C5">
        <w:t xml:space="preserve"> (Cth)</w:t>
      </w:r>
    </w:p>
    <w:p w14:paraId="0BF8BB11" w14:textId="77777777" w:rsidR="00FC458C" w:rsidRPr="005C10C5" w:rsidRDefault="00FC458C" w:rsidP="00FC458C">
      <w:pPr>
        <w:spacing w:after="120" w:line="480" w:lineRule="auto"/>
        <w:ind w:left="720" w:hanging="720"/>
      </w:pPr>
      <w:r w:rsidRPr="005C10C5">
        <w:rPr>
          <w:i/>
          <w:iCs/>
        </w:rPr>
        <w:t>Hong Kong Act 1985</w:t>
      </w:r>
      <w:r w:rsidRPr="005C10C5">
        <w:t xml:space="preserve"> (UK)</w:t>
      </w:r>
    </w:p>
    <w:p w14:paraId="602D359E" w14:textId="77777777" w:rsidR="00FC458C" w:rsidRPr="005C10C5" w:rsidRDefault="00FC458C" w:rsidP="00FC458C">
      <w:pPr>
        <w:spacing w:after="120" w:line="480" w:lineRule="auto"/>
        <w:ind w:left="720" w:hanging="720"/>
      </w:pPr>
      <w:r w:rsidRPr="005C10C5">
        <w:rPr>
          <w:i/>
          <w:iCs/>
        </w:rPr>
        <w:t>Immigration Rules</w:t>
      </w:r>
      <w:r w:rsidRPr="005C10C5">
        <w:t xml:space="preserve"> (UK).</w:t>
      </w:r>
    </w:p>
    <w:p w14:paraId="416EE250" w14:textId="77777777" w:rsidR="00FC458C" w:rsidRPr="005C10C5" w:rsidRDefault="00FC458C" w:rsidP="00FC458C">
      <w:pPr>
        <w:spacing w:after="120" w:line="480" w:lineRule="auto"/>
        <w:ind w:left="720" w:hanging="720"/>
      </w:pPr>
      <w:r w:rsidRPr="005C10C5">
        <w:rPr>
          <w:i/>
          <w:iCs/>
        </w:rPr>
        <w:lastRenderedPageBreak/>
        <w:t>Naturalization Act 1903</w:t>
      </w:r>
      <w:r w:rsidRPr="005C10C5">
        <w:t xml:space="preserve"> (Cth)</w:t>
      </w:r>
    </w:p>
    <w:p w14:paraId="55ECF0D3" w14:textId="77777777" w:rsidR="00FC458C" w:rsidRDefault="00FC458C" w:rsidP="00FC458C">
      <w:pPr>
        <w:spacing w:after="120" w:line="480" w:lineRule="auto"/>
        <w:ind w:left="720" w:hanging="720"/>
      </w:pPr>
      <w:r w:rsidRPr="005C10C5">
        <w:rPr>
          <w:i/>
          <w:iCs/>
        </w:rPr>
        <w:t>Royal Style and Titles Act 1973</w:t>
      </w:r>
      <w:r w:rsidRPr="005C10C5">
        <w:t xml:space="preserve"> (Cth)</w:t>
      </w:r>
    </w:p>
    <w:p w14:paraId="54A63E64" w14:textId="28A7CDA3" w:rsidR="00FC458C" w:rsidRDefault="00FC458C" w:rsidP="00FC458C">
      <w:pPr>
        <w:spacing w:after="120" w:line="480" w:lineRule="auto"/>
      </w:pPr>
    </w:p>
    <w:p w14:paraId="08B46038" w14:textId="3EBE8778" w:rsidR="00FC458C" w:rsidRPr="005C10C5" w:rsidRDefault="00FC458C" w:rsidP="00FC458C">
      <w:pPr>
        <w:spacing w:after="120" w:line="480" w:lineRule="auto"/>
        <w:jc w:val="center"/>
      </w:pPr>
      <w:r>
        <w:t>D</w:t>
      </w:r>
      <w:r w:rsidRPr="005C10C5">
        <w:t xml:space="preserve"> </w:t>
      </w:r>
      <w:r w:rsidRPr="004436CF">
        <w:rPr>
          <w:i/>
          <w:iCs/>
        </w:rPr>
        <w:t>Other</w:t>
      </w:r>
    </w:p>
    <w:p w14:paraId="173E8B64" w14:textId="77777777" w:rsidR="00FC458C" w:rsidRPr="005C10C5" w:rsidRDefault="00FC458C" w:rsidP="00FC458C">
      <w:pPr>
        <w:spacing w:after="120" w:line="480" w:lineRule="auto"/>
        <w:ind w:left="720" w:hanging="720"/>
      </w:pPr>
      <w:proofErr w:type="spellStart"/>
      <w:r w:rsidRPr="005C10C5">
        <w:t>Arcioni</w:t>
      </w:r>
      <w:proofErr w:type="spellEnd"/>
      <w:r w:rsidRPr="005C10C5">
        <w:t xml:space="preserve">, Elisa, </w:t>
      </w:r>
      <w:r w:rsidRPr="005C10C5">
        <w:rPr>
          <w:i/>
          <w:iCs/>
        </w:rPr>
        <w:t>‘The people’ in the Australian Constitution: more than a vague and emotionally powerful abstraction</w:t>
      </w:r>
      <w:r w:rsidRPr="005C10C5">
        <w:t xml:space="preserve"> (PhD Thesis, The University of Sydney, 2015)</w:t>
      </w:r>
    </w:p>
    <w:p w14:paraId="557648BA" w14:textId="77777777" w:rsidR="00FC458C" w:rsidRPr="005C10C5" w:rsidRDefault="00FC458C" w:rsidP="00FC458C">
      <w:pPr>
        <w:spacing w:after="120" w:line="480" w:lineRule="auto"/>
        <w:ind w:left="720" w:hanging="720"/>
      </w:pPr>
      <w:r w:rsidRPr="005C10C5">
        <w:t xml:space="preserve">Australian Bureau of Statistics, ‘Census Silhouette’, </w:t>
      </w:r>
      <w:r w:rsidRPr="005C10C5">
        <w:rPr>
          <w:i/>
          <w:iCs/>
        </w:rPr>
        <w:t>Census of the Commonwealth of Australia</w:t>
      </w:r>
      <w:r w:rsidRPr="005C10C5">
        <w:t>, 1954</w:t>
      </w:r>
    </w:p>
    <w:p w14:paraId="35D0F9C3" w14:textId="77777777" w:rsidR="00FC458C" w:rsidRPr="005C10C5" w:rsidRDefault="00FC458C" w:rsidP="00FC458C">
      <w:pPr>
        <w:spacing w:after="120" w:line="480" w:lineRule="auto"/>
        <w:ind w:left="720" w:hanging="720"/>
      </w:pPr>
      <w:r w:rsidRPr="005C10C5">
        <w:t>Commonwealth,</w:t>
      </w:r>
      <w:r w:rsidRPr="005C10C5">
        <w:rPr>
          <w:i/>
          <w:iCs/>
        </w:rPr>
        <w:t> Parliamentary Debates</w:t>
      </w:r>
      <w:r w:rsidRPr="005C10C5">
        <w:t>, House of Representatives, 12 September 1901</w:t>
      </w:r>
    </w:p>
    <w:p w14:paraId="2D0A80C9" w14:textId="77777777" w:rsidR="00FC458C" w:rsidRPr="005C10C5" w:rsidRDefault="00FC458C" w:rsidP="00FC458C">
      <w:pPr>
        <w:spacing w:after="120" w:line="480" w:lineRule="auto"/>
        <w:ind w:left="720" w:hanging="720"/>
      </w:pPr>
      <w:r w:rsidRPr="005C10C5">
        <w:t xml:space="preserve">Commonwealth, </w:t>
      </w:r>
      <w:r w:rsidRPr="005C10C5">
        <w:rPr>
          <w:i/>
          <w:iCs/>
        </w:rPr>
        <w:t>Parliamentary Debates</w:t>
      </w:r>
      <w:r w:rsidRPr="005C10C5">
        <w:t>, House of Representatives, 27 May 1986</w:t>
      </w:r>
    </w:p>
    <w:p w14:paraId="06FB7BC9" w14:textId="77777777" w:rsidR="00FC458C" w:rsidRPr="005C10C5" w:rsidRDefault="00FC458C" w:rsidP="00FC458C">
      <w:pPr>
        <w:spacing w:after="120" w:line="480" w:lineRule="auto"/>
        <w:ind w:left="720" w:hanging="720"/>
      </w:pPr>
      <w:r w:rsidRPr="005C10C5">
        <w:t>Commonwealth,</w:t>
      </w:r>
      <w:r w:rsidRPr="005C10C5">
        <w:rPr>
          <w:i/>
          <w:iCs/>
        </w:rPr>
        <w:t xml:space="preserve"> Parliamentary Debates</w:t>
      </w:r>
      <w:r w:rsidRPr="005C10C5">
        <w:t>, Representatives, 30 September 1948</w:t>
      </w:r>
    </w:p>
    <w:p w14:paraId="2F9B1EA4" w14:textId="77777777" w:rsidR="00FC458C" w:rsidRPr="005C10C5" w:rsidRDefault="00FC458C" w:rsidP="00FC458C">
      <w:pPr>
        <w:spacing w:after="120" w:line="480" w:lineRule="auto"/>
        <w:ind w:left="720" w:hanging="720"/>
      </w:pPr>
      <w:proofErr w:type="spellStart"/>
      <w:r w:rsidRPr="005C10C5">
        <w:t>Jenkings</w:t>
      </w:r>
      <w:proofErr w:type="spellEnd"/>
      <w:r w:rsidRPr="005C10C5">
        <w:t xml:space="preserve">, Patricia Anne Bernadette, </w:t>
      </w:r>
      <w:r w:rsidRPr="005C10C5">
        <w:rPr>
          <w:i/>
          <w:iCs/>
        </w:rPr>
        <w:t>Australian Political Elites and Citizenship Education for `New Australians' 1945-1960</w:t>
      </w:r>
      <w:r w:rsidRPr="005C10C5">
        <w:t xml:space="preserve"> (PhD thesis, The University of Sydney, 2001)</w:t>
      </w:r>
    </w:p>
    <w:p w14:paraId="6CF3404F" w14:textId="77777777" w:rsidR="00FC458C" w:rsidRPr="005C10C5" w:rsidRDefault="00FC458C" w:rsidP="00FC458C">
      <w:pPr>
        <w:spacing w:after="120" w:line="480" w:lineRule="auto"/>
        <w:ind w:left="720" w:hanging="720"/>
      </w:pPr>
      <w:r w:rsidRPr="005C10C5">
        <w:rPr>
          <w:i/>
          <w:iCs/>
        </w:rPr>
        <w:t>Official Record of the Debates of the Australasian Federal Convention</w:t>
      </w:r>
      <w:r w:rsidRPr="005C10C5">
        <w:t>, Melbourne, 8 February 1898</w:t>
      </w:r>
    </w:p>
    <w:p w14:paraId="4AF70285" w14:textId="77777777" w:rsidR="00FC458C" w:rsidRPr="005C10C5" w:rsidRDefault="00FC458C" w:rsidP="00FC458C">
      <w:pPr>
        <w:spacing w:after="120" w:line="480" w:lineRule="auto"/>
        <w:ind w:left="720" w:hanging="720"/>
      </w:pPr>
      <w:r w:rsidRPr="005C10C5">
        <w:rPr>
          <w:i/>
          <w:iCs/>
        </w:rPr>
        <w:t>Official Record of the Debates of the Australasian Federal Convention</w:t>
      </w:r>
      <w:r w:rsidRPr="005C10C5">
        <w:t>, Melbourne, 2 March 1898</w:t>
      </w:r>
    </w:p>
    <w:p w14:paraId="012890D8" w14:textId="77777777" w:rsidR="00FC458C" w:rsidRPr="005C10C5" w:rsidRDefault="00FC458C" w:rsidP="00FC458C">
      <w:pPr>
        <w:spacing w:after="120" w:line="480" w:lineRule="auto"/>
        <w:ind w:left="720" w:hanging="720"/>
      </w:pPr>
      <w:r w:rsidRPr="005C10C5">
        <w:rPr>
          <w:i/>
          <w:iCs/>
        </w:rPr>
        <w:t>Official Record of the Debates of the Australasian Federal Convention</w:t>
      </w:r>
      <w:r w:rsidRPr="005C10C5">
        <w:t>, Melbourne, 3 March 1898</w:t>
      </w:r>
    </w:p>
    <w:p w14:paraId="0C4970DC" w14:textId="77777777" w:rsidR="00FC458C" w:rsidRPr="005C10C5" w:rsidRDefault="00FC458C" w:rsidP="00FC458C">
      <w:pPr>
        <w:spacing w:after="120" w:line="480" w:lineRule="auto"/>
        <w:ind w:left="720" w:hanging="720"/>
      </w:pPr>
      <w:r w:rsidRPr="005C10C5">
        <w:rPr>
          <w:i/>
          <w:iCs/>
        </w:rPr>
        <w:t>Official Record of the Debates of the Australasian Federal Convention</w:t>
      </w:r>
      <w:r w:rsidRPr="005C10C5">
        <w:t>, Melbourne, 8 February 1898</w:t>
      </w:r>
    </w:p>
    <w:p w14:paraId="787B58D9" w14:textId="77777777" w:rsidR="00FC458C" w:rsidRPr="005C10C5" w:rsidRDefault="00FC458C" w:rsidP="00FC458C">
      <w:pPr>
        <w:spacing w:after="120" w:line="480" w:lineRule="auto"/>
        <w:ind w:left="720" w:hanging="720"/>
      </w:pPr>
      <w:r w:rsidRPr="005C10C5">
        <w:rPr>
          <w:i/>
          <w:iCs/>
        </w:rPr>
        <w:lastRenderedPageBreak/>
        <w:t>Official Record of the Debates of the Australasian Federal Convention</w:t>
      </w:r>
      <w:r w:rsidRPr="005C10C5">
        <w:t>, Sydney, 21 September 1897</w:t>
      </w:r>
    </w:p>
    <w:p w14:paraId="0CA2C9DE" w14:textId="77777777" w:rsidR="00FC458C" w:rsidRPr="005C10C5" w:rsidRDefault="00FC458C" w:rsidP="00FC458C">
      <w:pPr>
        <w:spacing w:after="120" w:line="480" w:lineRule="auto"/>
        <w:ind w:left="720" w:hanging="720"/>
      </w:pPr>
      <w:r w:rsidRPr="005C10C5">
        <w:t xml:space="preserve">Prince, Peter, </w:t>
      </w:r>
      <w:r w:rsidRPr="005C10C5">
        <w:rPr>
          <w:i/>
          <w:iCs/>
        </w:rPr>
        <w:t>Aliens in Their Own Land</w:t>
      </w:r>
      <w:r w:rsidRPr="005C10C5">
        <w:t xml:space="preserve"> (PhD Thesis, Australian National University, 2015) available at &lt;https://openresearch-repository.anu.edu.au/handle/1885/101778&gt; </w:t>
      </w:r>
    </w:p>
    <w:p w14:paraId="14173582" w14:textId="2E8B14C0" w:rsidR="00F351FE" w:rsidRPr="00FC458C" w:rsidRDefault="00F351FE" w:rsidP="00FC458C">
      <w:pPr>
        <w:spacing w:after="120" w:line="480" w:lineRule="auto"/>
        <w:ind w:left="720" w:hanging="720"/>
      </w:pPr>
    </w:p>
    <w:sectPr w:rsidR="00F351FE" w:rsidRPr="00FC458C" w:rsidSect="004C2000">
      <w:footerReference w:type="even" r:id="rId6"/>
      <w:foot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FB8538" w14:textId="77777777" w:rsidR="00165360" w:rsidRDefault="00165360" w:rsidP="0049067F">
      <w:r>
        <w:separator/>
      </w:r>
    </w:p>
  </w:endnote>
  <w:endnote w:type="continuationSeparator" w:id="0">
    <w:p w14:paraId="51830F07" w14:textId="77777777" w:rsidR="00165360" w:rsidRDefault="00165360" w:rsidP="00490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28619744"/>
      <w:docPartObj>
        <w:docPartGallery w:val="Page Numbers (Bottom of Page)"/>
        <w:docPartUnique/>
      </w:docPartObj>
    </w:sdtPr>
    <w:sdtContent>
      <w:p w14:paraId="4D37EB6F" w14:textId="11BD6146" w:rsidR="00F351FE" w:rsidRDefault="00F351FE" w:rsidP="00C24B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CE567A3" w14:textId="77777777" w:rsidR="00F351FE" w:rsidRDefault="00F351FE" w:rsidP="00F351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63493233"/>
      <w:docPartObj>
        <w:docPartGallery w:val="Page Numbers (Bottom of Page)"/>
        <w:docPartUnique/>
      </w:docPartObj>
    </w:sdtPr>
    <w:sdtContent>
      <w:p w14:paraId="1E537339" w14:textId="63500AF6" w:rsidR="00F351FE" w:rsidRDefault="00F351FE" w:rsidP="00C24B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9D53A7" w14:textId="77777777" w:rsidR="00F351FE" w:rsidRDefault="00F351FE" w:rsidP="00F351F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5CAC91" w14:textId="77777777" w:rsidR="00165360" w:rsidRDefault="00165360" w:rsidP="0049067F">
      <w:r>
        <w:separator/>
      </w:r>
    </w:p>
  </w:footnote>
  <w:footnote w:type="continuationSeparator" w:id="0">
    <w:p w14:paraId="72CC0519" w14:textId="77777777" w:rsidR="00165360" w:rsidRDefault="00165360" w:rsidP="0049067F">
      <w:r>
        <w:continuationSeparator/>
      </w:r>
    </w:p>
  </w:footnote>
  <w:footnote w:id="1">
    <w:p w14:paraId="0A740F46" w14:textId="77777777" w:rsidR="0049067F" w:rsidRPr="002F5F1C" w:rsidRDefault="0049067F" w:rsidP="0049067F">
      <w:pPr>
        <w:pStyle w:val="FootnoteText"/>
      </w:pPr>
      <w:r w:rsidRPr="002F5F1C">
        <w:rPr>
          <w:rStyle w:val="FootnoteReference"/>
        </w:rPr>
        <w:footnoteRef/>
      </w:r>
      <w:r w:rsidRPr="002F5F1C">
        <w:t xml:space="preserve"> See, </w:t>
      </w:r>
      <w:proofErr w:type="spellStart"/>
      <w:r w:rsidRPr="002F5F1C">
        <w:t>eg</w:t>
      </w:r>
      <w:proofErr w:type="spellEnd"/>
      <w:r w:rsidRPr="002F5F1C">
        <w:t xml:space="preserve">, Mary Crock and Laurie Berg, </w:t>
      </w:r>
      <w:r w:rsidRPr="002F5F1C">
        <w:rPr>
          <w:i/>
          <w:iCs/>
        </w:rPr>
        <w:t>Immigration, Refugees and Forced Migration</w:t>
      </w:r>
      <w:r w:rsidRPr="002F5F1C">
        <w:t xml:space="preserve"> (Federation Press, 2011) </w:t>
      </w:r>
      <w:proofErr w:type="spellStart"/>
      <w:r w:rsidRPr="002F5F1C">
        <w:t>chs</w:t>
      </w:r>
      <w:proofErr w:type="spellEnd"/>
      <w:r w:rsidRPr="002F5F1C">
        <w:t xml:space="preserve"> 2, 5; Louise Boon-</w:t>
      </w:r>
      <w:proofErr w:type="spellStart"/>
      <w:r w:rsidRPr="002F5F1C">
        <w:t>Kuo</w:t>
      </w:r>
      <w:proofErr w:type="spellEnd"/>
      <w:r w:rsidRPr="002F5F1C">
        <w:t xml:space="preserve">, </w:t>
      </w:r>
      <w:r w:rsidRPr="002F5F1C">
        <w:rPr>
          <w:i/>
          <w:iCs/>
        </w:rPr>
        <w:t>Policing Undocumented Migrants: Law, Violence and Responsibility</w:t>
      </w:r>
      <w:r w:rsidRPr="002F5F1C">
        <w:t xml:space="preserve"> (Routledge, 2018) 154-155.</w:t>
      </w:r>
    </w:p>
  </w:footnote>
  <w:footnote w:id="2">
    <w:p w14:paraId="217AAA0D" w14:textId="77777777" w:rsidR="0049067F" w:rsidRPr="002F5F1C" w:rsidRDefault="0049067F" w:rsidP="0049067F">
      <w:pPr>
        <w:pStyle w:val="FootnoteText"/>
      </w:pPr>
      <w:r w:rsidRPr="002F5F1C">
        <w:rPr>
          <w:rStyle w:val="FootnoteReference"/>
        </w:rPr>
        <w:footnoteRef/>
      </w:r>
      <w:r w:rsidRPr="002F5F1C">
        <w:t xml:space="preserve"> See, </w:t>
      </w:r>
      <w:proofErr w:type="spellStart"/>
      <w:r w:rsidRPr="002F5F1C">
        <w:t>eg</w:t>
      </w:r>
      <w:proofErr w:type="spellEnd"/>
      <w:r w:rsidRPr="002F5F1C">
        <w:t xml:space="preserve">, Don McMaster, ‘Asylum-seekers and the insecurity of a nation’ (2002) 56(2) </w:t>
      </w:r>
      <w:r w:rsidRPr="002F5F1C">
        <w:rPr>
          <w:i/>
          <w:iCs/>
        </w:rPr>
        <w:t>Australian Journal of International Affairs</w:t>
      </w:r>
      <w:r w:rsidRPr="002F5F1C">
        <w:t xml:space="preserve"> 279; Peter Gale, ‘The refugee crisis and fear’ (2004) 12(4) </w:t>
      </w:r>
      <w:r w:rsidRPr="002F5F1C">
        <w:rPr>
          <w:i/>
          <w:iCs/>
        </w:rPr>
        <w:t>Journal of Sociology</w:t>
      </w:r>
      <w:r w:rsidRPr="002F5F1C">
        <w:t xml:space="preserve"> 321; Danielle Every and Martha </w:t>
      </w:r>
      <w:proofErr w:type="spellStart"/>
      <w:r w:rsidRPr="002F5F1C">
        <w:t>Augoustinos</w:t>
      </w:r>
      <w:proofErr w:type="spellEnd"/>
      <w:r w:rsidRPr="002F5F1C">
        <w:t>,</w:t>
      </w:r>
      <w:r w:rsidRPr="002F5F1C">
        <w:rPr>
          <w:b/>
          <w:bCs/>
        </w:rPr>
        <w:t xml:space="preserve"> </w:t>
      </w:r>
      <w:r w:rsidRPr="002F5F1C">
        <w:t xml:space="preserve">‘Constructions of racism in the Australian parliamentary debates on asylum seekers’ (2007) 18(4) </w:t>
      </w:r>
      <w:r w:rsidRPr="002F5F1C">
        <w:rPr>
          <w:i/>
          <w:iCs/>
        </w:rPr>
        <w:t>Discourse &amp; Society</w:t>
      </w:r>
      <w:r w:rsidRPr="002F5F1C">
        <w:t xml:space="preserve"> 411.</w:t>
      </w:r>
    </w:p>
  </w:footnote>
  <w:footnote w:id="3">
    <w:p w14:paraId="79DA8258" w14:textId="77777777" w:rsidR="0049067F" w:rsidRPr="002F5F1C" w:rsidRDefault="0049067F" w:rsidP="0049067F">
      <w:pPr>
        <w:pStyle w:val="FootnoteText"/>
      </w:pPr>
      <w:r w:rsidRPr="002F5F1C">
        <w:rPr>
          <w:rStyle w:val="FootnoteReference"/>
        </w:rPr>
        <w:footnoteRef/>
      </w:r>
      <w:r w:rsidRPr="002F5F1C">
        <w:t xml:space="preserve"> See, </w:t>
      </w:r>
      <w:proofErr w:type="spellStart"/>
      <w:r w:rsidRPr="002F5F1C">
        <w:t>eg</w:t>
      </w:r>
      <w:proofErr w:type="spellEnd"/>
      <w:r w:rsidRPr="002F5F1C">
        <w:t xml:space="preserve">, Peter Prince, </w:t>
      </w:r>
      <w:r w:rsidRPr="002F5F1C">
        <w:rPr>
          <w:i/>
          <w:iCs/>
        </w:rPr>
        <w:t>Aliens in Their Own Land</w:t>
      </w:r>
      <w:r w:rsidRPr="002F5F1C">
        <w:t xml:space="preserve"> (PhD Thesis, Australian National University, 2015) available at &lt;https://openresearch-repository.anu.edu.au/handle/1885/101778&gt; </w:t>
      </w:r>
      <w:proofErr w:type="spellStart"/>
      <w:r w:rsidRPr="002F5F1C">
        <w:t>ch</w:t>
      </w:r>
      <w:proofErr w:type="spellEnd"/>
      <w:r w:rsidRPr="002F5F1C">
        <w:t xml:space="preserve"> 1; John Chesterman and Brian Galligan, </w:t>
      </w:r>
      <w:r w:rsidRPr="002F5F1C">
        <w:rPr>
          <w:i/>
          <w:iCs/>
        </w:rPr>
        <w:t>Defining Australian Citizenship</w:t>
      </w:r>
      <w:r w:rsidRPr="002F5F1C">
        <w:t xml:space="preserve"> (Melbourne University Press, 1999) </w:t>
      </w:r>
      <w:proofErr w:type="spellStart"/>
      <w:r w:rsidRPr="002F5F1C">
        <w:t>ch</w:t>
      </w:r>
      <w:proofErr w:type="spellEnd"/>
      <w:r w:rsidRPr="002F5F1C">
        <w:t xml:space="preserve"> 2.</w:t>
      </w:r>
    </w:p>
  </w:footnote>
  <w:footnote w:id="4">
    <w:p w14:paraId="5AFBEB01" w14:textId="77777777" w:rsidR="0049067F" w:rsidRPr="002F5F1C" w:rsidRDefault="0049067F" w:rsidP="0049067F">
      <w:pPr>
        <w:pStyle w:val="FootnoteText"/>
      </w:pPr>
      <w:r w:rsidRPr="002F5F1C">
        <w:rPr>
          <w:rStyle w:val="FootnoteReference"/>
        </w:rPr>
        <w:footnoteRef/>
      </w:r>
      <w:r w:rsidRPr="002F5F1C">
        <w:t xml:space="preserve"> Victor Windeyer, ‘A Birthright and Inheritance, the Establishment of the Rule of Law in Australia’ (1962) 1 </w:t>
      </w:r>
      <w:r w:rsidRPr="002F5F1C">
        <w:rPr>
          <w:i/>
          <w:iCs/>
        </w:rPr>
        <w:t>University of Tasmania Law Review</w:t>
      </w:r>
      <w:r w:rsidRPr="002F5F1C">
        <w:t xml:space="preserve"> 635, 636; </w:t>
      </w:r>
      <w:r w:rsidRPr="002F5F1C">
        <w:rPr>
          <w:i/>
          <w:iCs/>
        </w:rPr>
        <w:t>Mabo v Queensland</w:t>
      </w:r>
      <w:r w:rsidRPr="002F5F1C">
        <w:t xml:space="preserve"> (No 2) (1992) 175 CLR 1, 80.</w:t>
      </w:r>
    </w:p>
  </w:footnote>
  <w:footnote w:id="5">
    <w:p w14:paraId="0D7366C6" w14:textId="657E7F14" w:rsidR="0049067F" w:rsidRPr="002F5F1C" w:rsidRDefault="0049067F" w:rsidP="0049067F">
      <w:pPr>
        <w:pStyle w:val="FootnoteText"/>
      </w:pPr>
      <w:r w:rsidRPr="002F5F1C">
        <w:rPr>
          <w:rStyle w:val="FootnoteReference"/>
        </w:rPr>
        <w:footnoteRef/>
      </w:r>
      <w:r w:rsidRPr="002F5F1C">
        <w:t xml:space="preserve"> </w:t>
      </w:r>
      <w:r w:rsidR="006E6FAE" w:rsidRPr="002F5F1C">
        <w:t xml:space="preserve">Linda </w:t>
      </w:r>
      <w:proofErr w:type="spellStart"/>
      <w:r w:rsidR="006E6FAE" w:rsidRPr="002F5F1C">
        <w:t>Bosniak</w:t>
      </w:r>
      <w:proofErr w:type="spellEnd"/>
      <w:r w:rsidR="006E6FAE" w:rsidRPr="002F5F1C">
        <w:t xml:space="preserve">, ‘Citizenship Denationalized’ (2000) </w:t>
      </w:r>
      <w:r w:rsidR="006E6FAE" w:rsidRPr="002F5F1C">
        <w:rPr>
          <w:i/>
          <w:iCs/>
        </w:rPr>
        <w:t>Indiana Journal of Global Legal Studies</w:t>
      </w:r>
      <w:r w:rsidR="006E6FAE" w:rsidRPr="002F5F1C">
        <w:t xml:space="preserve"> 447</w:t>
      </w:r>
      <w:r w:rsidRPr="002F5F1C">
        <w:t>, 452.</w:t>
      </w:r>
    </w:p>
  </w:footnote>
  <w:footnote w:id="6">
    <w:p w14:paraId="1F3A7281" w14:textId="3B39CBF6" w:rsidR="0049067F" w:rsidRPr="002F5F1C" w:rsidRDefault="0049067F" w:rsidP="0049067F">
      <w:pPr>
        <w:pStyle w:val="FootnoteText"/>
      </w:pPr>
      <w:r w:rsidRPr="002F5F1C">
        <w:rPr>
          <w:rStyle w:val="FootnoteReference"/>
        </w:rPr>
        <w:footnoteRef/>
      </w:r>
      <w:r w:rsidRPr="002F5F1C">
        <w:t xml:space="preserve"> </w:t>
      </w:r>
      <w:r w:rsidR="006E6FAE" w:rsidRPr="002F5F1C">
        <w:t xml:space="preserve">Kim Rubenstein, </w:t>
      </w:r>
      <w:r w:rsidR="006E6FAE" w:rsidRPr="002F5F1C">
        <w:rPr>
          <w:i/>
          <w:iCs/>
        </w:rPr>
        <w:t>Australian Citizenship Law</w:t>
      </w:r>
      <w:r w:rsidR="006E6FAE" w:rsidRPr="002F5F1C">
        <w:t xml:space="preserve"> (Thomson Reuters, 2</w:t>
      </w:r>
      <w:r w:rsidR="006E6FAE" w:rsidRPr="002F5F1C">
        <w:rPr>
          <w:vertAlign w:val="superscript"/>
        </w:rPr>
        <w:t>nd</w:t>
      </w:r>
      <w:r w:rsidR="006E6FAE">
        <w:t xml:space="preserve"> </w:t>
      </w:r>
      <w:proofErr w:type="spellStart"/>
      <w:r w:rsidR="006E6FAE">
        <w:t>ed</w:t>
      </w:r>
      <w:proofErr w:type="spellEnd"/>
      <w:r w:rsidR="006E6FAE">
        <w:t xml:space="preserve">, 2016) </w:t>
      </w:r>
      <w:r w:rsidRPr="002F5F1C">
        <w:t>19.</w:t>
      </w:r>
    </w:p>
  </w:footnote>
  <w:footnote w:id="7">
    <w:p w14:paraId="204777A9" w14:textId="60C3AFB5" w:rsidR="0049067F" w:rsidRPr="002F5F1C" w:rsidRDefault="0049067F" w:rsidP="0049067F">
      <w:pPr>
        <w:pStyle w:val="FootnoteText"/>
      </w:pPr>
      <w:r w:rsidRPr="002F5F1C">
        <w:rPr>
          <w:rStyle w:val="FootnoteReference"/>
        </w:rPr>
        <w:footnoteRef/>
      </w:r>
      <w:r w:rsidRPr="002F5F1C">
        <w:t xml:space="preserve"> </w:t>
      </w:r>
      <w:r w:rsidR="006E6FAE" w:rsidRPr="002F5F1C">
        <w:t>Helen Irving, ‘Citizenship before 1949’ in Kim Rubenstein (</w:t>
      </w:r>
      <w:proofErr w:type="spellStart"/>
      <w:r w:rsidR="006E6FAE" w:rsidRPr="002F5F1C">
        <w:t>ed</w:t>
      </w:r>
      <w:proofErr w:type="spellEnd"/>
      <w:r w:rsidR="006E6FAE" w:rsidRPr="002F5F1C">
        <w:t>) </w:t>
      </w:r>
      <w:r w:rsidR="006E6FAE" w:rsidRPr="002F5F1C">
        <w:rPr>
          <w:i/>
          <w:iCs/>
        </w:rPr>
        <w:t xml:space="preserve">Individual Community Nation: Fifty Years of Australian Citizenship </w:t>
      </w:r>
      <w:r w:rsidR="006E6FAE" w:rsidRPr="002F5F1C">
        <w:t>(Australi</w:t>
      </w:r>
      <w:r w:rsidR="006E6FAE">
        <w:t>an Scholarly Publishing, 2000)</w:t>
      </w:r>
      <w:r w:rsidRPr="002F5F1C">
        <w:t xml:space="preserve"> 5.</w:t>
      </w:r>
    </w:p>
  </w:footnote>
  <w:footnote w:id="8">
    <w:p w14:paraId="70C65C18" w14:textId="4E38A1A6" w:rsidR="0049067F" w:rsidRPr="002F5F1C" w:rsidRDefault="0049067F" w:rsidP="0049067F">
      <w:pPr>
        <w:pStyle w:val="FootnoteText"/>
      </w:pPr>
      <w:r w:rsidRPr="002F5F1C">
        <w:rPr>
          <w:rStyle w:val="FootnoteReference"/>
        </w:rPr>
        <w:footnoteRef/>
      </w:r>
      <w:r w:rsidRPr="002F5F1C">
        <w:t xml:space="preserve"> Crock and Berg, above n 1, 21.</w:t>
      </w:r>
    </w:p>
  </w:footnote>
  <w:footnote w:id="9">
    <w:p w14:paraId="04C5ADB3" w14:textId="68B9637E" w:rsidR="0049067F" w:rsidRPr="002F5F1C" w:rsidRDefault="0049067F" w:rsidP="0049067F">
      <w:pPr>
        <w:pStyle w:val="FootnoteText"/>
      </w:pPr>
      <w:r w:rsidRPr="002F5F1C">
        <w:rPr>
          <w:rStyle w:val="FootnoteReference"/>
        </w:rPr>
        <w:footnoteRef/>
      </w:r>
      <w:r w:rsidR="006E6FAE">
        <w:t xml:space="preserve"> Prince, above n </w:t>
      </w:r>
      <w:r w:rsidRPr="002F5F1C">
        <w:t>3.</w:t>
      </w:r>
    </w:p>
  </w:footnote>
  <w:footnote w:id="10">
    <w:p w14:paraId="2EA563ED" w14:textId="22A26539" w:rsidR="0049067F" w:rsidRPr="002F5F1C" w:rsidRDefault="0049067F" w:rsidP="0049067F">
      <w:pPr>
        <w:pStyle w:val="FootnoteText"/>
      </w:pPr>
      <w:r w:rsidRPr="002F5F1C">
        <w:rPr>
          <w:rStyle w:val="FootnoteReference"/>
        </w:rPr>
        <w:footnoteRef/>
      </w:r>
      <w:r w:rsidRPr="002F5F1C">
        <w:t xml:space="preserve"> Irving, above n </w:t>
      </w:r>
      <w:r w:rsidR="006E6FAE">
        <w:t>7</w:t>
      </w:r>
      <w:r w:rsidRPr="002F5F1C">
        <w:t>, 6.</w:t>
      </w:r>
    </w:p>
  </w:footnote>
  <w:footnote w:id="11">
    <w:p w14:paraId="19F741E8" w14:textId="0CEBCEE7" w:rsidR="0049067F" w:rsidRPr="002F5F1C" w:rsidRDefault="0049067F" w:rsidP="0049067F">
      <w:pPr>
        <w:pStyle w:val="FootnoteText"/>
      </w:pPr>
      <w:r w:rsidRPr="002F5F1C">
        <w:rPr>
          <w:rStyle w:val="FootnoteReference"/>
        </w:rPr>
        <w:footnoteRef/>
      </w:r>
      <w:r w:rsidRPr="002F5F1C">
        <w:t xml:space="preserve"> Prince, above n </w:t>
      </w:r>
      <w:r w:rsidR="006E6FAE">
        <w:t>3</w:t>
      </w:r>
      <w:r w:rsidRPr="002F5F1C">
        <w:t>, 13.</w:t>
      </w:r>
    </w:p>
  </w:footnote>
  <w:footnote w:id="12">
    <w:p w14:paraId="76723116" w14:textId="77777777" w:rsidR="00E422DB" w:rsidRPr="002F5F1C" w:rsidRDefault="00E422DB" w:rsidP="00E422DB">
      <w:pPr>
        <w:pStyle w:val="FootnoteText"/>
      </w:pPr>
      <w:r w:rsidRPr="002F5F1C">
        <w:rPr>
          <w:rStyle w:val="FootnoteReference"/>
        </w:rPr>
        <w:footnoteRef/>
      </w:r>
      <w:r w:rsidRPr="002F5F1C">
        <w:t xml:space="preserve"> </w:t>
      </w:r>
      <w:r w:rsidRPr="002F5F1C">
        <w:rPr>
          <w:i/>
          <w:iCs/>
        </w:rPr>
        <w:t xml:space="preserve">Potter v </w:t>
      </w:r>
      <w:proofErr w:type="spellStart"/>
      <w:r w:rsidRPr="002F5F1C">
        <w:rPr>
          <w:i/>
          <w:iCs/>
        </w:rPr>
        <w:t>Minahan</w:t>
      </w:r>
      <w:proofErr w:type="spellEnd"/>
      <w:r w:rsidRPr="002F5F1C">
        <w:t xml:space="preserve"> (1908) 7 CLR 277, 320-321 (Higgins J) (‘</w:t>
      </w:r>
      <w:r w:rsidRPr="002F5F1C">
        <w:rPr>
          <w:i/>
          <w:iCs/>
        </w:rPr>
        <w:t xml:space="preserve">Potter v </w:t>
      </w:r>
      <w:proofErr w:type="spellStart"/>
      <w:r w:rsidRPr="002F5F1C">
        <w:rPr>
          <w:i/>
          <w:iCs/>
        </w:rPr>
        <w:t>Minahan</w:t>
      </w:r>
      <w:proofErr w:type="spellEnd"/>
      <w:r w:rsidRPr="002F5F1C">
        <w:t>’).</w:t>
      </w:r>
    </w:p>
  </w:footnote>
  <w:footnote w:id="13">
    <w:p w14:paraId="15D20006" w14:textId="118C49A0" w:rsidR="00E422DB" w:rsidRPr="002F5F1C" w:rsidRDefault="00E422DB" w:rsidP="00E422DB">
      <w:pPr>
        <w:pStyle w:val="FootnoteText"/>
      </w:pPr>
      <w:r w:rsidRPr="002F5F1C">
        <w:rPr>
          <w:rStyle w:val="FootnoteReference"/>
        </w:rPr>
        <w:footnoteRef/>
      </w:r>
      <w:r w:rsidRPr="002F5F1C">
        <w:t xml:space="preserve"> </w:t>
      </w:r>
      <w:r w:rsidR="006E6FAE" w:rsidRPr="002F5F1C">
        <w:t xml:space="preserve">Polly J Price, ‘Natural Law and Birthright Citizenship in Calvin's Case (1608)’ (1997) 9 </w:t>
      </w:r>
      <w:r w:rsidR="006E6FAE" w:rsidRPr="002F5F1C">
        <w:rPr>
          <w:i/>
          <w:iCs/>
        </w:rPr>
        <w:t>Yale Journal of Law &amp; the Humanities</w:t>
      </w:r>
      <w:r w:rsidR="006E6FAE" w:rsidRPr="002F5F1C">
        <w:t xml:space="preserve"> 73</w:t>
      </w:r>
      <w:r w:rsidRPr="002F5F1C">
        <w:t>, 74.</w:t>
      </w:r>
    </w:p>
  </w:footnote>
  <w:footnote w:id="14">
    <w:p w14:paraId="3457905E" w14:textId="6A6F0B2D" w:rsidR="00E422DB" w:rsidRPr="002F5F1C" w:rsidRDefault="00E422DB" w:rsidP="00E422DB">
      <w:pPr>
        <w:pStyle w:val="FootnoteText"/>
      </w:pPr>
      <w:r w:rsidRPr="002F5F1C">
        <w:rPr>
          <w:rStyle w:val="FootnoteReference"/>
        </w:rPr>
        <w:footnoteRef/>
      </w:r>
      <w:r w:rsidRPr="002F5F1C">
        <w:t xml:space="preserve"> </w:t>
      </w:r>
      <w:bookmarkStart w:id="1" w:name="OLE_LINK3"/>
      <w:bookmarkStart w:id="2" w:name="OLE_LINK4"/>
      <w:r w:rsidR="001B4282" w:rsidRPr="002F5F1C">
        <w:t xml:space="preserve">J W Salmond, ‘Citizenship and Allegiance’ (1902) 18 </w:t>
      </w:r>
      <w:r w:rsidR="001B4282" w:rsidRPr="002F5F1C">
        <w:rPr>
          <w:i/>
          <w:iCs/>
        </w:rPr>
        <w:t xml:space="preserve">Law Quarterly Review </w:t>
      </w:r>
      <w:r w:rsidR="001B4282" w:rsidRPr="002F5F1C">
        <w:t>49</w:t>
      </w:r>
      <w:r w:rsidRPr="002F5F1C">
        <w:t xml:space="preserve">, </w:t>
      </w:r>
      <w:bookmarkEnd w:id="1"/>
      <w:bookmarkEnd w:id="2"/>
      <w:r w:rsidRPr="002F5F1C">
        <w:t>55.</w:t>
      </w:r>
    </w:p>
  </w:footnote>
  <w:footnote w:id="15">
    <w:p w14:paraId="3DA82DB5" w14:textId="03C42892" w:rsidR="0049067F" w:rsidRPr="002F5F1C" w:rsidRDefault="0049067F" w:rsidP="0049067F">
      <w:pPr>
        <w:pStyle w:val="FootnoteText"/>
      </w:pPr>
      <w:r w:rsidRPr="002F5F1C">
        <w:rPr>
          <w:rStyle w:val="FootnoteReference"/>
        </w:rPr>
        <w:footnoteRef/>
      </w:r>
      <w:r w:rsidRPr="002F5F1C">
        <w:t xml:space="preserve"> </w:t>
      </w:r>
      <w:r w:rsidR="003C1C09">
        <w:t xml:space="preserve">Prince, above n </w:t>
      </w:r>
      <w:r w:rsidR="003C1C09" w:rsidRPr="002F5F1C">
        <w:t>3</w:t>
      </w:r>
      <w:r w:rsidR="003C1C09">
        <w:t xml:space="preserve">, </w:t>
      </w:r>
      <w:r w:rsidRPr="002F5F1C">
        <w:t>50.</w:t>
      </w:r>
    </w:p>
  </w:footnote>
  <w:footnote w:id="16">
    <w:p w14:paraId="77EE5D14" w14:textId="77777777" w:rsidR="0049067F" w:rsidRPr="002F5F1C" w:rsidRDefault="0049067F" w:rsidP="0049067F">
      <w:pPr>
        <w:pStyle w:val="FootnoteText"/>
      </w:pPr>
      <w:r w:rsidRPr="002F5F1C">
        <w:rPr>
          <w:rStyle w:val="FootnoteReference"/>
        </w:rPr>
        <w:footnoteRef/>
      </w:r>
      <w:r w:rsidRPr="002F5F1C">
        <w:t xml:space="preserve"> See, </w:t>
      </w:r>
      <w:proofErr w:type="spellStart"/>
      <w:r w:rsidRPr="002F5F1C">
        <w:t>eg</w:t>
      </w:r>
      <w:proofErr w:type="spellEnd"/>
      <w:r w:rsidRPr="002F5F1C">
        <w:t xml:space="preserve">, Peter H Russell, </w:t>
      </w:r>
      <w:r w:rsidRPr="002F5F1C">
        <w:rPr>
          <w:i/>
          <w:iCs/>
        </w:rPr>
        <w:t>Recognising Aboriginal Title: The Mabo Case and Indigenous Resistance to English-Settler Colonialism</w:t>
      </w:r>
      <w:r w:rsidRPr="002F5F1C">
        <w:t xml:space="preserve"> (UNSW Press, 2006) 84; Lisa Ford, </w:t>
      </w:r>
      <w:r w:rsidRPr="002F5F1C">
        <w:rPr>
          <w:i/>
          <w:iCs/>
        </w:rPr>
        <w:t xml:space="preserve">Settler Sovereignty, Jurisdiction and Indigenous People in America and Australia, 1788-1836 </w:t>
      </w:r>
      <w:r w:rsidRPr="002F5F1C">
        <w:t xml:space="preserve">(Harvard University Press, 2010) 174. </w:t>
      </w:r>
    </w:p>
  </w:footnote>
  <w:footnote w:id="17">
    <w:p w14:paraId="0E75D0CA"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R v Ballard</w:t>
      </w:r>
      <w:r w:rsidRPr="002F5F1C">
        <w:t xml:space="preserve"> [1829] </w:t>
      </w:r>
      <w:proofErr w:type="spellStart"/>
      <w:r w:rsidRPr="002F5F1C">
        <w:t>NSWSupC</w:t>
      </w:r>
      <w:proofErr w:type="spellEnd"/>
      <w:r w:rsidRPr="002F5F1C">
        <w:t xml:space="preserve"> 26, 13 June 1829, Macquarie University Division of Law, Decisions of the Superior Courts of New South Wales, 1788-1899 (‘</w:t>
      </w:r>
      <w:r w:rsidRPr="002F5F1C">
        <w:rPr>
          <w:i/>
          <w:iCs/>
        </w:rPr>
        <w:t>R v Ballard</w:t>
      </w:r>
      <w:r w:rsidRPr="002F5F1C">
        <w:t>’).</w:t>
      </w:r>
    </w:p>
  </w:footnote>
  <w:footnote w:id="18">
    <w:p w14:paraId="58D7870F"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R v Ballard</w:t>
      </w:r>
      <w:r w:rsidRPr="002F5F1C">
        <w:t xml:space="preserve"> (Dowling J).</w:t>
      </w:r>
    </w:p>
  </w:footnote>
  <w:footnote w:id="19">
    <w:p w14:paraId="5F6534B2" w14:textId="77777777" w:rsidR="0049067F" w:rsidRPr="002F5F1C" w:rsidRDefault="0049067F" w:rsidP="0049067F">
      <w:pPr>
        <w:pStyle w:val="FootnoteText"/>
      </w:pPr>
      <w:r w:rsidRPr="002F5F1C">
        <w:rPr>
          <w:rStyle w:val="FootnoteReference"/>
        </w:rPr>
        <w:footnoteRef/>
      </w:r>
      <w:r w:rsidRPr="002F5F1C">
        <w:t xml:space="preserve"> See, </w:t>
      </w:r>
      <w:proofErr w:type="spellStart"/>
      <w:r w:rsidRPr="002F5F1C">
        <w:t>eg</w:t>
      </w:r>
      <w:proofErr w:type="spellEnd"/>
      <w:r w:rsidRPr="002F5F1C">
        <w:t xml:space="preserve">, </w:t>
      </w:r>
      <w:r w:rsidRPr="002F5F1C">
        <w:rPr>
          <w:i/>
          <w:iCs/>
        </w:rPr>
        <w:t>R v Lowe</w:t>
      </w:r>
      <w:r w:rsidRPr="002F5F1C">
        <w:t xml:space="preserve"> [1827] </w:t>
      </w:r>
      <w:proofErr w:type="spellStart"/>
      <w:r w:rsidRPr="002F5F1C">
        <w:t>NSWSupC</w:t>
      </w:r>
      <w:proofErr w:type="spellEnd"/>
      <w:r w:rsidRPr="002F5F1C">
        <w:t xml:space="preserve"> 32; </w:t>
      </w:r>
      <w:r w:rsidRPr="002F5F1C">
        <w:rPr>
          <w:i/>
          <w:iCs/>
        </w:rPr>
        <w:t>R v Murrell</w:t>
      </w:r>
      <w:r w:rsidRPr="002F5F1C">
        <w:t xml:space="preserve"> [1836] </w:t>
      </w:r>
      <w:proofErr w:type="spellStart"/>
      <w:r w:rsidRPr="002F5F1C">
        <w:t>NSWSupC</w:t>
      </w:r>
      <w:proofErr w:type="spellEnd"/>
      <w:r w:rsidRPr="002F5F1C">
        <w:t xml:space="preserve"> 35; </w:t>
      </w:r>
      <w:r w:rsidRPr="002F5F1C">
        <w:rPr>
          <w:i/>
          <w:iCs/>
        </w:rPr>
        <w:t xml:space="preserve">R v </w:t>
      </w:r>
      <w:proofErr w:type="spellStart"/>
      <w:r w:rsidRPr="002F5F1C">
        <w:rPr>
          <w:i/>
          <w:iCs/>
        </w:rPr>
        <w:t>Bonjon</w:t>
      </w:r>
      <w:proofErr w:type="spellEnd"/>
      <w:r w:rsidRPr="002F5F1C">
        <w:t xml:space="preserve"> [1841] SW Sup Ct, Port Phillip District (16 September 1841) Macquarie University Division of Law, Decisions of the Superior Courts of New South Wales 1788-1899. See also Alan Pope, </w:t>
      </w:r>
      <w:r w:rsidRPr="002F5F1C">
        <w:rPr>
          <w:i/>
          <w:iCs/>
        </w:rPr>
        <w:t xml:space="preserve">One Law for </w:t>
      </w:r>
      <w:proofErr w:type="gramStart"/>
      <w:r w:rsidRPr="002F5F1C">
        <w:rPr>
          <w:i/>
          <w:iCs/>
        </w:rPr>
        <w:t>All?:</w:t>
      </w:r>
      <w:proofErr w:type="gramEnd"/>
      <w:r w:rsidRPr="002F5F1C">
        <w:rPr>
          <w:i/>
          <w:iCs/>
        </w:rPr>
        <w:t xml:space="preserve"> Aboriginal People and Criminal Law in Early South Australia</w:t>
      </w:r>
      <w:r w:rsidRPr="002F5F1C">
        <w:t xml:space="preserve"> (Aboriginal Studies Press, 2011) 27.</w:t>
      </w:r>
    </w:p>
  </w:footnote>
  <w:footnote w:id="20">
    <w:p w14:paraId="7D58F2EB" w14:textId="63A04AF4" w:rsidR="0049067F" w:rsidRPr="002F5F1C" w:rsidRDefault="0049067F" w:rsidP="0049067F">
      <w:pPr>
        <w:pStyle w:val="FootnoteText"/>
      </w:pPr>
      <w:r w:rsidRPr="002F5F1C">
        <w:rPr>
          <w:rStyle w:val="FootnoteReference"/>
        </w:rPr>
        <w:footnoteRef/>
      </w:r>
      <w:r w:rsidR="0039339C">
        <w:t xml:space="preserve"> Prince, above n 63, </w:t>
      </w:r>
      <w:r w:rsidRPr="002F5F1C">
        <w:t xml:space="preserve">9; see, </w:t>
      </w:r>
      <w:proofErr w:type="spellStart"/>
      <w:r w:rsidRPr="002F5F1C">
        <w:t>eg</w:t>
      </w:r>
      <w:proofErr w:type="spellEnd"/>
      <w:r w:rsidRPr="002F5F1C">
        <w:t xml:space="preserve">, John Jeffcott, Address to Grand Jury, 13 May 1837, quoted in Pope, above n </w:t>
      </w:r>
      <w:r w:rsidR="0039339C">
        <w:t>19</w:t>
      </w:r>
      <w:r w:rsidRPr="002F5F1C">
        <w:t>, 13.</w:t>
      </w:r>
    </w:p>
  </w:footnote>
  <w:footnote w:id="21">
    <w:p w14:paraId="586C222C"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 xml:space="preserve">Potter v </w:t>
      </w:r>
      <w:proofErr w:type="spellStart"/>
      <w:r w:rsidRPr="002F5F1C">
        <w:rPr>
          <w:i/>
          <w:iCs/>
        </w:rPr>
        <w:t>Minahan</w:t>
      </w:r>
      <w:proofErr w:type="spellEnd"/>
      <w:r w:rsidRPr="002F5F1C">
        <w:t>, 320-321 (Higgins J).</w:t>
      </w:r>
    </w:p>
  </w:footnote>
  <w:footnote w:id="22">
    <w:p w14:paraId="4767D51D" w14:textId="1B66ED06" w:rsidR="0049067F" w:rsidRPr="002F5F1C" w:rsidRDefault="0049067F" w:rsidP="0049067F">
      <w:pPr>
        <w:pStyle w:val="FootnoteText"/>
      </w:pPr>
      <w:r w:rsidRPr="002F5F1C">
        <w:rPr>
          <w:rStyle w:val="FootnoteReference"/>
        </w:rPr>
        <w:footnoteRef/>
      </w:r>
      <w:r w:rsidRPr="002F5F1C">
        <w:t xml:space="preserve"> For details on the treatment of Pacific Islan</w:t>
      </w:r>
      <w:r w:rsidR="0039339C">
        <w:t xml:space="preserve">ders, see, </w:t>
      </w:r>
      <w:proofErr w:type="spellStart"/>
      <w:r w:rsidR="0039339C">
        <w:t>eg</w:t>
      </w:r>
      <w:proofErr w:type="spellEnd"/>
      <w:r w:rsidR="0039339C">
        <w:t xml:space="preserve">, Prince, above n </w:t>
      </w:r>
      <w:r w:rsidRPr="002F5F1C">
        <w:t xml:space="preserve">3, </w:t>
      </w:r>
      <w:proofErr w:type="spellStart"/>
      <w:r w:rsidRPr="002F5F1C">
        <w:t>ch</w:t>
      </w:r>
      <w:proofErr w:type="spellEnd"/>
      <w:r w:rsidRPr="002F5F1C">
        <w:t xml:space="preserve"> 5.</w:t>
      </w:r>
    </w:p>
  </w:footnote>
  <w:footnote w:id="23">
    <w:p w14:paraId="75679F49" w14:textId="4B727C37" w:rsidR="0049067F" w:rsidRPr="002F5F1C" w:rsidRDefault="0049067F" w:rsidP="0049067F">
      <w:pPr>
        <w:pStyle w:val="FootnoteText"/>
      </w:pPr>
      <w:r w:rsidRPr="002F5F1C">
        <w:rPr>
          <w:rStyle w:val="FootnoteReference"/>
        </w:rPr>
        <w:footnoteRef/>
      </w:r>
      <w:r w:rsidRPr="002F5F1C">
        <w:t xml:space="preserve"> ‘Civil Sitting’, </w:t>
      </w:r>
      <w:proofErr w:type="spellStart"/>
      <w:r w:rsidRPr="002F5F1C">
        <w:t>Capricornian</w:t>
      </w:r>
      <w:proofErr w:type="spellEnd"/>
      <w:r w:rsidRPr="002F5F1C">
        <w:t xml:space="preserve"> (Rockhampton) 26 April 1902,</w:t>
      </w:r>
      <w:r w:rsidR="0039339C">
        <w:t xml:space="preserve"> 38, quoted in Prince, above n </w:t>
      </w:r>
      <w:r w:rsidRPr="002F5F1C">
        <w:t>3, 127.</w:t>
      </w:r>
    </w:p>
  </w:footnote>
  <w:footnote w:id="24">
    <w:p w14:paraId="2356A6FC" w14:textId="59E2BEA2" w:rsidR="0049067F" w:rsidRPr="002F5F1C" w:rsidRDefault="0049067F" w:rsidP="0049067F">
      <w:pPr>
        <w:pStyle w:val="FootnoteText"/>
        <w:rPr>
          <w:iCs/>
        </w:rPr>
      </w:pPr>
      <w:r w:rsidRPr="002F5F1C">
        <w:rPr>
          <w:rStyle w:val="FootnoteReference"/>
        </w:rPr>
        <w:footnoteRef/>
      </w:r>
      <w:r w:rsidR="0039339C">
        <w:t xml:space="preserve"> Prince, above n </w:t>
      </w:r>
      <w:r w:rsidRPr="002F5F1C">
        <w:t xml:space="preserve">3, 126-127. </w:t>
      </w:r>
    </w:p>
  </w:footnote>
  <w:footnote w:id="25">
    <w:p w14:paraId="4E50E7F0" w14:textId="77777777" w:rsidR="0049067F" w:rsidRPr="002F5F1C" w:rsidRDefault="0049067F" w:rsidP="0049067F">
      <w:pPr>
        <w:pStyle w:val="FootnoteText"/>
      </w:pPr>
      <w:r w:rsidRPr="002F5F1C">
        <w:rPr>
          <w:rStyle w:val="FootnoteReference"/>
        </w:rPr>
        <w:footnoteRef/>
      </w:r>
      <w:r w:rsidRPr="002F5F1C">
        <w:t xml:space="preserve"> (1888) 1 NSWLR 269.</w:t>
      </w:r>
    </w:p>
  </w:footnote>
  <w:footnote w:id="26">
    <w:p w14:paraId="10DECC97" w14:textId="77777777" w:rsidR="0049067F" w:rsidRPr="002F5F1C" w:rsidRDefault="0049067F" w:rsidP="0049067F">
      <w:pPr>
        <w:pStyle w:val="FootnoteText"/>
        <w:rPr>
          <w:b/>
          <w:bCs/>
        </w:rPr>
      </w:pPr>
      <w:r w:rsidRPr="002F5F1C">
        <w:rPr>
          <w:rStyle w:val="FootnoteReference"/>
        </w:rPr>
        <w:footnoteRef/>
      </w:r>
      <w:r w:rsidRPr="002F5F1C">
        <w:t xml:space="preserve"> See, </w:t>
      </w:r>
      <w:proofErr w:type="spellStart"/>
      <w:r w:rsidRPr="002F5F1C">
        <w:t>eg</w:t>
      </w:r>
      <w:proofErr w:type="spellEnd"/>
      <w:r w:rsidRPr="002F5F1C">
        <w:t xml:space="preserve">, Chinese Immigrants Act 1865 (Vic); Chinese Immigrants Regulation Act 1877 (Qld). See also Myra Willard, </w:t>
      </w:r>
      <w:r w:rsidRPr="002F5F1C">
        <w:rPr>
          <w:i/>
          <w:iCs/>
        </w:rPr>
        <w:t>History of the White Australia Policy to 1920</w:t>
      </w:r>
      <w:r w:rsidRPr="002F5F1C">
        <w:t xml:space="preserve"> (Melbourne University Press, 2</w:t>
      </w:r>
      <w:r w:rsidRPr="002F5F1C">
        <w:rPr>
          <w:vertAlign w:val="superscript"/>
        </w:rPr>
        <w:t>nd</w:t>
      </w:r>
      <w:r w:rsidRPr="002F5F1C">
        <w:t xml:space="preserve"> </w:t>
      </w:r>
      <w:proofErr w:type="spellStart"/>
      <w:r w:rsidRPr="002F5F1C">
        <w:t>ed</w:t>
      </w:r>
      <w:proofErr w:type="spellEnd"/>
      <w:r w:rsidRPr="002F5F1C">
        <w:t>, 1978)</w:t>
      </w:r>
      <w:r w:rsidRPr="002F5F1C">
        <w:rPr>
          <w:b/>
          <w:bCs/>
        </w:rPr>
        <w:t xml:space="preserve"> </w:t>
      </w:r>
      <w:r w:rsidRPr="002F5F1C">
        <w:t>42-43, 65-67.</w:t>
      </w:r>
    </w:p>
  </w:footnote>
  <w:footnote w:id="27">
    <w:p w14:paraId="4E5B6DA2" w14:textId="7B30A814" w:rsidR="0049067F" w:rsidRPr="002F5F1C" w:rsidRDefault="0049067F" w:rsidP="0049067F">
      <w:pPr>
        <w:pStyle w:val="FootnoteText"/>
      </w:pPr>
      <w:r w:rsidRPr="002F5F1C">
        <w:rPr>
          <w:rStyle w:val="FootnoteReference"/>
        </w:rPr>
        <w:footnoteRef/>
      </w:r>
      <w:r w:rsidRPr="002F5F1C">
        <w:t xml:space="preserve"> Willard, above n </w:t>
      </w:r>
      <w:r w:rsidR="0039339C">
        <w:t>26</w:t>
      </w:r>
      <w:r w:rsidRPr="002F5F1C">
        <w:t>, 65.</w:t>
      </w:r>
    </w:p>
  </w:footnote>
  <w:footnote w:id="28">
    <w:p w14:paraId="2489C335" w14:textId="4CF8D8DB" w:rsidR="0049067F" w:rsidRPr="002F5F1C" w:rsidRDefault="0049067F" w:rsidP="0049067F">
      <w:pPr>
        <w:pStyle w:val="FootnoteText"/>
      </w:pPr>
      <w:r w:rsidRPr="002F5F1C">
        <w:rPr>
          <w:rStyle w:val="FootnoteReference"/>
        </w:rPr>
        <w:footnoteRef/>
      </w:r>
      <w:r w:rsidR="0039339C">
        <w:t xml:space="preserve"> Prince, above n </w:t>
      </w:r>
      <w:r w:rsidRPr="002F5F1C">
        <w:t>3,</w:t>
      </w:r>
      <w:r w:rsidRPr="002F5F1C">
        <w:rPr>
          <w:i/>
          <w:iCs/>
        </w:rPr>
        <w:t xml:space="preserve"> </w:t>
      </w:r>
      <w:r w:rsidRPr="002F5F1C">
        <w:t>118-119.</w:t>
      </w:r>
    </w:p>
  </w:footnote>
  <w:footnote w:id="29">
    <w:p w14:paraId="54129C8C" w14:textId="77777777" w:rsidR="0049067F" w:rsidRPr="002F5F1C" w:rsidRDefault="0049067F" w:rsidP="0049067F">
      <w:pPr>
        <w:pStyle w:val="FootnoteText"/>
      </w:pPr>
      <w:r w:rsidRPr="002F5F1C">
        <w:rPr>
          <w:rStyle w:val="FootnoteReference"/>
        </w:rPr>
        <w:footnoteRef/>
      </w:r>
      <w:r w:rsidRPr="002F5F1C">
        <w:t xml:space="preserve"> New South Wales, </w:t>
      </w:r>
      <w:r w:rsidRPr="002F5F1C">
        <w:rPr>
          <w:i/>
          <w:iCs/>
        </w:rPr>
        <w:t>Parliamentary Debates</w:t>
      </w:r>
      <w:r w:rsidRPr="002F5F1C">
        <w:t xml:space="preserve">, Legislative Assembly, 13 July 1881, 97 (Sir Henry Parkes, Premier), quoted in Kim Rubenstein, ‘Citizenship and the Centenary: Inclusion and Exclusion in 20th Century Australia’ (2000) 24(3) </w:t>
      </w:r>
      <w:r w:rsidRPr="002F5F1C">
        <w:rPr>
          <w:i/>
          <w:iCs/>
        </w:rPr>
        <w:t>Melbourne University Law Review</w:t>
      </w:r>
      <w:r w:rsidRPr="002F5F1C">
        <w:t xml:space="preserve"> 576, 581.</w:t>
      </w:r>
    </w:p>
  </w:footnote>
  <w:footnote w:id="30">
    <w:p w14:paraId="690C8DF5" w14:textId="77777777" w:rsidR="0049067F" w:rsidRPr="002F5F1C" w:rsidRDefault="0049067F" w:rsidP="0049067F">
      <w:pPr>
        <w:pStyle w:val="FootnoteText"/>
      </w:pPr>
      <w:r w:rsidRPr="002F5F1C">
        <w:rPr>
          <w:rStyle w:val="FootnoteReference"/>
        </w:rPr>
        <w:footnoteRef/>
      </w:r>
      <w:r w:rsidRPr="002F5F1C">
        <w:t xml:space="preserve"> Kim Rubenstein, </w:t>
      </w:r>
      <w:r w:rsidRPr="002F5F1C">
        <w:rPr>
          <w:i/>
          <w:iCs/>
        </w:rPr>
        <w:t>Australian Citizenship Law in Context</w:t>
      </w:r>
      <w:r w:rsidRPr="002F5F1C">
        <w:t xml:space="preserve"> (Lawbook 2002) 38. </w:t>
      </w:r>
    </w:p>
  </w:footnote>
  <w:footnote w:id="31">
    <w:p w14:paraId="21AEEDD0" w14:textId="25EEC184" w:rsidR="0049067F" w:rsidRPr="002F5F1C" w:rsidRDefault="0049067F" w:rsidP="0049067F">
      <w:pPr>
        <w:pStyle w:val="FootnoteText"/>
      </w:pPr>
      <w:r w:rsidRPr="002F5F1C">
        <w:rPr>
          <w:rStyle w:val="FootnoteReference"/>
        </w:rPr>
        <w:footnoteRef/>
      </w:r>
      <w:r w:rsidR="0039339C">
        <w:t xml:space="preserve"> Helen Irving, above n 7</w:t>
      </w:r>
      <w:r w:rsidRPr="002F5F1C">
        <w:t>, 5.</w:t>
      </w:r>
    </w:p>
  </w:footnote>
  <w:footnote w:id="32">
    <w:p w14:paraId="4EE5F710" w14:textId="77777777" w:rsidR="0049067F" w:rsidRPr="002F5F1C" w:rsidRDefault="0049067F" w:rsidP="0049067F">
      <w:pPr>
        <w:pStyle w:val="FootnoteText"/>
      </w:pPr>
      <w:r w:rsidRPr="002F5F1C">
        <w:rPr>
          <w:rStyle w:val="FootnoteReference"/>
        </w:rPr>
        <w:footnoteRef/>
      </w:r>
      <w:r w:rsidRPr="002F5F1C">
        <w:t xml:space="preserve"> Ibid 6.</w:t>
      </w:r>
    </w:p>
  </w:footnote>
  <w:footnote w:id="33">
    <w:p w14:paraId="67440AFC" w14:textId="77777777" w:rsidR="0049067F" w:rsidRPr="002F5F1C" w:rsidRDefault="0049067F" w:rsidP="0049067F">
      <w:pPr>
        <w:pStyle w:val="FootnoteText"/>
      </w:pPr>
      <w:r w:rsidRPr="002F5F1C">
        <w:rPr>
          <w:rStyle w:val="FootnoteReference"/>
        </w:rPr>
        <w:footnoteRef/>
      </w:r>
      <w:r w:rsidRPr="002F5F1C">
        <w:t xml:space="preserve"> Sir Henry Parkes, ‘Opening Speech to the First Federation Convention’, </w:t>
      </w:r>
      <w:r w:rsidRPr="002F5F1C">
        <w:rPr>
          <w:i/>
          <w:iCs/>
        </w:rPr>
        <w:t>Federal Government of Australasia</w:t>
      </w:r>
      <w:r w:rsidRPr="002F5F1C">
        <w:t xml:space="preserve"> (1890) 75.</w:t>
      </w:r>
    </w:p>
  </w:footnote>
  <w:footnote w:id="34">
    <w:p w14:paraId="38664E26" w14:textId="77777777" w:rsidR="0049067F" w:rsidRPr="002F5F1C" w:rsidRDefault="0049067F" w:rsidP="0049067F">
      <w:pPr>
        <w:pStyle w:val="FootnoteText"/>
      </w:pPr>
      <w:r w:rsidRPr="002F5F1C">
        <w:rPr>
          <w:rStyle w:val="FootnoteReference"/>
        </w:rPr>
        <w:footnoteRef/>
      </w:r>
      <w:r w:rsidRPr="002F5F1C">
        <w:t xml:space="preserve"> Elisa </w:t>
      </w:r>
      <w:proofErr w:type="spellStart"/>
      <w:r w:rsidRPr="002F5F1C">
        <w:t>Arcioni</w:t>
      </w:r>
      <w:proofErr w:type="spellEnd"/>
      <w:r w:rsidRPr="002F5F1C">
        <w:t xml:space="preserve">, ‘Tracing the ethno-cultural or racial identity of the Australian constitutional people’ (2015) 15(2) </w:t>
      </w:r>
      <w:r w:rsidRPr="002F5F1C">
        <w:rPr>
          <w:i/>
          <w:iCs/>
        </w:rPr>
        <w:t>Oxford University Commonwealth Law Journal</w:t>
      </w:r>
      <w:r w:rsidRPr="002F5F1C">
        <w:t xml:space="preserve"> 173, 176.</w:t>
      </w:r>
    </w:p>
  </w:footnote>
  <w:footnote w:id="35">
    <w:p w14:paraId="47D0D129" w14:textId="77777777" w:rsidR="0049067F" w:rsidRPr="002F5F1C" w:rsidRDefault="0049067F" w:rsidP="0049067F">
      <w:pPr>
        <w:pStyle w:val="FootnoteText"/>
      </w:pPr>
      <w:r w:rsidRPr="002F5F1C">
        <w:rPr>
          <w:rStyle w:val="FootnoteReference"/>
        </w:rPr>
        <w:footnoteRef/>
      </w:r>
      <w:r w:rsidRPr="002F5F1C">
        <w:t xml:space="preserve"> Key comments are made by Sir Isaac Isaacs, Member of Parliament, Chief Justice of the High Court and Governor General; Sir Edmond Barton, Prime Minister and Justice of the High Court; Richard O’Connor, Senator and Justice of the High Court; Sir John Forrest, Member of Parliament, Minister for Home Affairs and treasurer, Charles Kingston, Minister for Trade and Customs and Member of Parliament; Sir John Quick, Member of Parliament; and Sir John Cockburn.</w:t>
      </w:r>
    </w:p>
  </w:footnote>
  <w:footnote w:id="36">
    <w:p w14:paraId="30F4E511" w14:textId="77777777" w:rsidR="0049067F" w:rsidRPr="002F5F1C" w:rsidRDefault="0049067F" w:rsidP="0049067F">
      <w:pPr>
        <w:pStyle w:val="FootnoteText"/>
      </w:pPr>
      <w:r w:rsidRPr="002F5F1C">
        <w:rPr>
          <w:rStyle w:val="FootnoteReference"/>
        </w:rPr>
        <w:footnoteRef/>
      </w:r>
      <w:r w:rsidRPr="002F5F1C">
        <w:t xml:space="preserve"> Elisa </w:t>
      </w:r>
      <w:proofErr w:type="spellStart"/>
      <w:r w:rsidRPr="002F5F1C">
        <w:t>Arcioni</w:t>
      </w:r>
      <w:proofErr w:type="spellEnd"/>
      <w:r w:rsidRPr="002F5F1C">
        <w:t xml:space="preserve">, </w:t>
      </w:r>
      <w:r w:rsidRPr="002F5F1C">
        <w:rPr>
          <w:i/>
          <w:iCs/>
        </w:rPr>
        <w:t>‘The people’ in the Australian Constitution: more than a vague and emotionally powerful abstraction</w:t>
      </w:r>
      <w:r w:rsidRPr="002F5F1C">
        <w:t xml:space="preserve"> (PhD Thesis, The University of Sydney, 2015) 13.</w:t>
      </w:r>
    </w:p>
  </w:footnote>
  <w:footnote w:id="37">
    <w:p w14:paraId="3E04887B" w14:textId="724AFF93" w:rsidR="0049067F" w:rsidRPr="002F5F1C" w:rsidRDefault="0049067F" w:rsidP="0049067F">
      <w:pPr>
        <w:pStyle w:val="FootnoteText"/>
      </w:pPr>
      <w:r w:rsidRPr="002F5F1C">
        <w:rPr>
          <w:rStyle w:val="FootnoteReference"/>
        </w:rPr>
        <w:footnoteRef/>
      </w:r>
      <w:r w:rsidRPr="002F5F1C">
        <w:t xml:space="preserve"> Irving, abov</w:t>
      </w:r>
      <w:r w:rsidR="0039339C">
        <w:t>e n 7</w:t>
      </w:r>
      <w:r w:rsidRPr="002F5F1C">
        <w:t>, 6.</w:t>
      </w:r>
    </w:p>
  </w:footnote>
  <w:footnote w:id="38">
    <w:p w14:paraId="4EF49F37" w14:textId="079345B5" w:rsidR="0049067F" w:rsidRPr="002F5F1C" w:rsidRDefault="0049067F" w:rsidP="0049067F">
      <w:pPr>
        <w:pStyle w:val="FootnoteText"/>
      </w:pPr>
      <w:r w:rsidRPr="002F5F1C">
        <w:rPr>
          <w:rStyle w:val="FootnoteReference"/>
        </w:rPr>
        <w:footnoteRef/>
      </w:r>
      <w:r w:rsidRPr="002F5F1C">
        <w:t xml:space="preserve"> Chesterman and Galligan, </w:t>
      </w:r>
      <w:r w:rsidRPr="002F5F1C">
        <w:rPr>
          <w:i/>
          <w:iCs/>
        </w:rPr>
        <w:t>Defining Australian Citizenship</w:t>
      </w:r>
      <w:r w:rsidR="00A06BBB">
        <w:t xml:space="preserve">, above n </w:t>
      </w:r>
      <w:r w:rsidRPr="002F5F1C">
        <w:t xml:space="preserve">3, 6; Kim Rubenstein, 'Citizenship and the Constitutional Convention Debates: A Mere Legal Inference' (1997) 25(2) </w:t>
      </w:r>
      <w:r w:rsidRPr="002F5F1C">
        <w:rPr>
          <w:i/>
          <w:iCs/>
        </w:rPr>
        <w:t>Federal Law Review</w:t>
      </w:r>
      <w:r w:rsidRPr="002F5F1C">
        <w:t xml:space="preserve"> 295, 295. See, </w:t>
      </w:r>
      <w:proofErr w:type="spellStart"/>
      <w:r w:rsidRPr="002F5F1C">
        <w:t>eg</w:t>
      </w:r>
      <w:proofErr w:type="spellEnd"/>
      <w:r w:rsidRPr="002F5F1C">
        <w:t xml:space="preserve">, </w:t>
      </w:r>
      <w:r w:rsidRPr="002F5F1C">
        <w:rPr>
          <w:i/>
          <w:iCs/>
        </w:rPr>
        <w:t>Official Record of the Debates of the Australasian Federal Convention</w:t>
      </w:r>
      <w:r w:rsidRPr="002F5F1C">
        <w:t xml:space="preserve">, Melbourne, 2 March 1898 (‘2 March 1898 Debates’); </w:t>
      </w:r>
      <w:r w:rsidRPr="002F5F1C">
        <w:rPr>
          <w:i/>
          <w:iCs/>
        </w:rPr>
        <w:t>Official Record of the Debates of the Australasian Federal Convention</w:t>
      </w:r>
      <w:r w:rsidRPr="002F5F1C">
        <w:t xml:space="preserve">, Melbourne, 3 March 1898 (‘3 March 1898 Debates’); </w:t>
      </w:r>
      <w:r w:rsidRPr="002F5F1C">
        <w:rPr>
          <w:i/>
          <w:iCs/>
        </w:rPr>
        <w:t>Official Record of the Debates of the Australasian Federal Convention</w:t>
      </w:r>
      <w:r w:rsidRPr="002F5F1C">
        <w:t xml:space="preserve">, Melbourne, 8 February </w:t>
      </w:r>
      <w:proofErr w:type="gramStart"/>
      <w:r w:rsidRPr="002F5F1C">
        <w:t>1898  (</w:t>
      </w:r>
      <w:proofErr w:type="gramEnd"/>
      <w:r w:rsidRPr="002F5F1C">
        <w:t>‘8 February 1898 Debates’).</w:t>
      </w:r>
    </w:p>
  </w:footnote>
  <w:footnote w:id="39">
    <w:p w14:paraId="198CD43A"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Draft Bill to Constitute the Commonwealth of Australia 1891</w:t>
      </w:r>
      <w:r w:rsidRPr="002F5F1C">
        <w:rPr>
          <w:b/>
          <w:bCs/>
        </w:rPr>
        <w:t xml:space="preserve"> </w:t>
      </w:r>
      <w:r w:rsidRPr="002F5F1C">
        <w:t>(cth) s 17</w:t>
      </w:r>
    </w:p>
  </w:footnote>
  <w:footnote w:id="40">
    <w:p w14:paraId="4AB68757"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Constitution</w:t>
      </w:r>
      <w:r w:rsidRPr="002F5F1C">
        <w:t xml:space="preserve"> </w:t>
      </w:r>
      <w:proofErr w:type="spellStart"/>
      <w:r w:rsidRPr="002F5F1C">
        <w:t>ss</w:t>
      </w:r>
      <w:proofErr w:type="spellEnd"/>
      <w:r w:rsidRPr="002F5F1C">
        <w:t xml:space="preserve"> 34, 117.</w:t>
      </w:r>
    </w:p>
  </w:footnote>
  <w:footnote w:id="41">
    <w:p w14:paraId="5772FF61" w14:textId="77777777" w:rsidR="0049067F" w:rsidRPr="002F5F1C" w:rsidRDefault="0049067F" w:rsidP="0049067F">
      <w:pPr>
        <w:pStyle w:val="FootnoteText"/>
      </w:pPr>
      <w:r w:rsidRPr="002F5F1C">
        <w:rPr>
          <w:rStyle w:val="FootnoteReference"/>
        </w:rPr>
        <w:footnoteRef/>
      </w:r>
      <w:r w:rsidRPr="002F5F1C">
        <w:t xml:space="preserve"> Ibid preamble; covering clauses 3, 5; </w:t>
      </w:r>
      <w:proofErr w:type="spellStart"/>
      <w:r w:rsidRPr="002F5F1C">
        <w:t>ss</w:t>
      </w:r>
      <w:proofErr w:type="spellEnd"/>
      <w:r w:rsidRPr="002F5F1C">
        <w:t xml:space="preserve"> 7, 15, 24, 25, 41, 51(xxvi), 53, 89, 105, 127 (repealed).</w:t>
      </w:r>
    </w:p>
  </w:footnote>
  <w:footnote w:id="42">
    <w:p w14:paraId="71BBFFDB" w14:textId="77777777" w:rsidR="0049067F" w:rsidRPr="002F5F1C" w:rsidRDefault="0049067F" w:rsidP="0049067F">
      <w:pPr>
        <w:pStyle w:val="FootnoteText"/>
      </w:pPr>
      <w:r w:rsidRPr="002F5F1C">
        <w:rPr>
          <w:rStyle w:val="FootnoteReference"/>
        </w:rPr>
        <w:footnoteRef/>
      </w:r>
      <w:r w:rsidRPr="002F5F1C">
        <w:t xml:space="preserve"> Ibid </w:t>
      </w:r>
      <w:proofErr w:type="spellStart"/>
      <w:r w:rsidRPr="002F5F1C">
        <w:t>ss</w:t>
      </w:r>
      <w:proofErr w:type="spellEnd"/>
      <w:r w:rsidRPr="002F5F1C">
        <w:t xml:space="preserve"> 75(iv), 100, 117.</w:t>
      </w:r>
    </w:p>
  </w:footnote>
  <w:footnote w:id="43">
    <w:p w14:paraId="545369AC" w14:textId="77777777" w:rsidR="0049067F" w:rsidRPr="002F5F1C" w:rsidRDefault="0049067F" w:rsidP="0049067F">
      <w:pPr>
        <w:pStyle w:val="FootnoteText"/>
      </w:pPr>
      <w:r w:rsidRPr="002F5F1C">
        <w:rPr>
          <w:rStyle w:val="FootnoteReference"/>
        </w:rPr>
        <w:footnoteRef/>
      </w:r>
      <w:r w:rsidRPr="002F5F1C">
        <w:t xml:space="preserve"> Ibid </w:t>
      </w:r>
      <w:proofErr w:type="spellStart"/>
      <w:r w:rsidRPr="002F5F1C">
        <w:t>ss</w:t>
      </w:r>
      <w:proofErr w:type="spellEnd"/>
      <w:r w:rsidRPr="002F5F1C">
        <w:t xml:space="preserve"> 8, 30, 34, 41, 123, 128.</w:t>
      </w:r>
    </w:p>
  </w:footnote>
  <w:footnote w:id="44">
    <w:p w14:paraId="1F09C1BB" w14:textId="32E49B3C" w:rsidR="0049067F" w:rsidRPr="002F5F1C" w:rsidRDefault="0049067F" w:rsidP="0049067F">
      <w:pPr>
        <w:pStyle w:val="FootnoteText"/>
      </w:pPr>
      <w:r w:rsidRPr="002F5F1C">
        <w:rPr>
          <w:rStyle w:val="FootnoteReference"/>
        </w:rPr>
        <w:footnoteRef/>
      </w:r>
      <w:r w:rsidRPr="002F5F1C">
        <w:t xml:space="preserve"> Rubenstein, 'Citizenship and the Constitutional Convention Debates’, above n </w:t>
      </w:r>
      <w:r w:rsidR="00A06BBB">
        <w:t>38</w:t>
      </w:r>
      <w:r w:rsidRPr="002F5F1C">
        <w:t xml:space="preserve">. See also </w:t>
      </w:r>
      <w:proofErr w:type="spellStart"/>
      <w:r w:rsidRPr="002F5F1C">
        <w:t>Arcioni</w:t>
      </w:r>
      <w:proofErr w:type="spellEnd"/>
      <w:r w:rsidRPr="002F5F1C">
        <w:t xml:space="preserve">, </w:t>
      </w:r>
      <w:r w:rsidRPr="002F5F1C">
        <w:rPr>
          <w:i/>
          <w:iCs/>
        </w:rPr>
        <w:t>‘The people’ in the Australian Constitution</w:t>
      </w:r>
      <w:r w:rsidRPr="002F5F1C">
        <w:t xml:space="preserve">, above n </w:t>
      </w:r>
      <w:r w:rsidR="00E7454F">
        <w:t>36</w:t>
      </w:r>
      <w:r w:rsidRPr="002F5F1C">
        <w:t xml:space="preserve"> for an analysis of the terms used to refer to ‘the people’.</w:t>
      </w:r>
    </w:p>
  </w:footnote>
  <w:footnote w:id="45">
    <w:p w14:paraId="3977F7CC" w14:textId="63743962" w:rsidR="0049067F" w:rsidRPr="002F5F1C" w:rsidRDefault="0049067F" w:rsidP="0049067F">
      <w:pPr>
        <w:pStyle w:val="FootnoteText"/>
      </w:pPr>
      <w:r w:rsidRPr="002F5F1C">
        <w:rPr>
          <w:rStyle w:val="FootnoteReference"/>
        </w:rPr>
        <w:footnoteRef/>
      </w:r>
      <w:r w:rsidRPr="002F5F1C">
        <w:t xml:space="preserve"> Rubenstein, 'Citizenship and the Constitutional Convention Debates’, above n </w:t>
      </w:r>
      <w:r w:rsidR="00A06BBB">
        <w:t>38</w:t>
      </w:r>
      <w:r w:rsidRPr="002F5F1C">
        <w:t>, 306.</w:t>
      </w:r>
    </w:p>
  </w:footnote>
  <w:footnote w:id="46">
    <w:p w14:paraId="4A6A1F88" w14:textId="2C209D4C" w:rsidR="0049067F" w:rsidRPr="002F5F1C" w:rsidRDefault="0049067F" w:rsidP="0049067F">
      <w:pPr>
        <w:pStyle w:val="FootnoteText"/>
      </w:pPr>
      <w:r w:rsidRPr="002F5F1C">
        <w:rPr>
          <w:rStyle w:val="FootnoteReference"/>
        </w:rPr>
        <w:footnoteRef/>
      </w:r>
      <w:r w:rsidRPr="002F5F1C">
        <w:t xml:space="preserve"> </w:t>
      </w:r>
      <w:bookmarkStart w:id="4" w:name="OLE_LINK1"/>
      <w:bookmarkStart w:id="5" w:name="OLE_LINK2"/>
      <w:r w:rsidRPr="002F5F1C">
        <w:t xml:space="preserve">8 February 1898 Debates, </w:t>
      </w:r>
      <w:r w:rsidR="00A06BBB">
        <w:t>above n 38</w:t>
      </w:r>
      <w:r w:rsidRPr="002F5F1C">
        <w:t>, 665 (Forrest)</w:t>
      </w:r>
      <w:bookmarkEnd w:id="4"/>
      <w:bookmarkEnd w:id="5"/>
      <w:r w:rsidRPr="002F5F1C">
        <w:t>.</w:t>
      </w:r>
    </w:p>
  </w:footnote>
  <w:footnote w:id="47">
    <w:p w14:paraId="562DF28B" w14:textId="640C2EA9" w:rsidR="00D660A3" w:rsidRPr="002F5F1C" w:rsidRDefault="00D660A3" w:rsidP="00D660A3">
      <w:pPr>
        <w:pStyle w:val="FootnoteText"/>
      </w:pPr>
      <w:r w:rsidRPr="002F5F1C">
        <w:rPr>
          <w:rStyle w:val="FootnoteReference"/>
        </w:rPr>
        <w:footnoteRef/>
      </w:r>
      <w:r w:rsidRPr="002F5F1C">
        <w:t xml:space="preserve"> Elisa </w:t>
      </w:r>
      <w:proofErr w:type="spellStart"/>
      <w:r w:rsidRPr="002F5F1C">
        <w:t>Arcioni</w:t>
      </w:r>
      <w:proofErr w:type="spellEnd"/>
      <w:r w:rsidRPr="002F5F1C">
        <w:t>, ‘Citizenship’ in Cheryl Saunders, Adrienne Stone (</w:t>
      </w:r>
      <w:proofErr w:type="spellStart"/>
      <w:r w:rsidRPr="002F5F1C">
        <w:t>eds</w:t>
      </w:r>
      <w:proofErr w:type="spellEnd"/>
      <w:r w:rsidRPr="002F5F1C">
        <w:t>), </w:t>
      </w:r>
      <w:r w:rsidRPr="002F5F1C">
        <w:rPr>
          <w:i/>
          <w:iCs/>
        </w:rPr>
        <w:t>The Oxford Handbook of the Australian Constitution</w:t>
      </w:r>
      <w:r w:rsidRPr="002F5F1C">
        <w:t xml:space="preserve"> (Oxford University Press, 2018); 8 February 1898 Debates, </w:t>
      </w:r>
      <w:r w:rsidR="00A06BBB">
        <w:t>above n 38</w:t>
      </w:r>
      <w:r w:rsidRPr="002F5F1C">
        <w:t xml:space="preserve">, 665 (Barton); 2 March 1898 Debates, </w:t>
      </w:r>
      <w:r w:rsidR="00A06BBB">
        <w:t>above n 38</w:t>
      </w:r>
      <w:r w:rsidRPr="002F5F1C">
        <w:t xml:space="preserve">, 1752 (Quick), 1764-8; 3 March 1898 Debates, </w:t>
      </w:r>
      <w:r w:rsidR="00A06BBB">
        <w:t>above n 38</w:t>
      </w:r>
      <w:r w:rsidRPr="002F5F1C">
        <w:t>, 1785 (Forrest).</w:t>
      </w:r>
    </w:p>
  </w:footnote>
  <w:footnote w:id="48">
    <w:p w14:paraId="644876C0" w14:textId="54362674" w:rsidR="0049067F" w:rsidRPr="002F5F1C" w:rsidRDefault="0049067F" w:rsidP="0049067F">
      <w:pPr>
        <w:pStyle w:val="FootnoteText"/>
      </w:pPr>
      <w:r w:rsidRPr="002F5F1C">
        <w:rPr>
          <w:rStyle w:val="FootnoteReference"/>
        </w:rPr>
        <w:footnoteRef/>
      </w:r>
      <w:r w:rsidRPr="002F5F1C">
        <w:t xml:space="preserve"> Rubenstein, 'Citizenship and the Constitutional Convention Debates’, </w:t>
      </w:r>
      <w:r w:rsidR="00A06BBB">
        <w:t>above n 38</w:t>
      </w:r>
      <w:r w:rsidRPr="002F5F1C">
        <w:t>, 306.</w:t>
      </w:r>
    </w:p>
  </w:footnote>
  <w:footnote w:id="49">
    <w:p w14:paraId="4B00957E" w14:textId="657608DC" w:rsidR="0049067F" w:rsidRPr="002F5F1C" w:rsidRDefault="0049067F" w:rsidP="0049067F">
      <w:pPr>
        <w:pStyle w:val="FootnoteText"/>
      </w:pPr>
      <w:r w:rsidRPr="002F5F1C">
        <w:rPr>
          <w:rStyle w:val="FootnoteReference"/>
        </w:rPr>
        <w:footnoteRef/>
      </w:r>
      <w:r w:rsidRPr="002F5F1C">
        <w:t xml:space="preserve"> 8 February 1898 Debates, </w:t>
      </w:r>
      <w:r w:rsidR="00A06BBB">
        <w:t>above n 38</w:t>
      </w:r>
      <w:r w:rsidRPr="002F5F1C">
        <w:t>, 669; 687 (Isaacs).</w:t>
      </w:r>
    </w:p>
  </w:footnote>
  <w:footnote w:id="50">
    <w:p w14:paraId="7073D245" w14:textId="125726BE" w:rsidR="0049067F" w:rsidRPr="002F5F1C" w:rsidRDefault="0049067F" w:rsidP="0049067F">
      <w:pPr>
        <w:pStyle w:val="FootnoteText"/>
      </w:pPr>
      <w:r w:rsidRPr="002F5F1C">
        <w:rPr>
          <w:rStyle w:val="FootnoteReference"/>
        </w:rPr>
        <w:footnoteRef/>
      </w:r>
      <w:r w:rsidRPr="002F5F1C">
        <w:t xml:space="preserve"> 3 March 1898 Debates, </w:t>
      </w:r>
      <w:r w:rsidR="00A06BBB">
        <w:t>above n 38</w:t>
      </w:r>
      <w:r w:rsidRPr="002F5F1C">
        <w:t>, 1786 (Barton).</w:t>
      </w:r>
    </w:p>
  </w:footnote>
  <w:footnote w:id="51">
    <w:p w14:paraId="2656968E" w14:textId="0336234C" w:rsidR="0049067F" w:rsidRPr="002F5F1C" w:rsidRDefault="0049067F" w:rsidP="0049067F">
      <w:pPr>
        <w:pStyle w:val="FootnoteText"/>
      </w:pPr>
      <w:r w:rsidRPr="002F5F1C">
        <w:rPr>
          <w:rStyle w:val="FootnoteReference"/>
        </w:rPr>
        <w:footnoteRef/>
      </w:r>
      <w:r w:rsidRPr="002F5F1C">
        <w:t xml:space="preserve"> Chesterman and Galligan, </w:t>
      </w:r>
      <w:r w:rsidRPr="002F5F1C">
        <w:rPr>
          <w:i/>
          <w:iCs/>
        </w:rPr>
        <w:t>Defining Australian Citizenship</w:t>
      </w:r>
      <w:r w:rsidR="00A06BBB">
        <w:t xml:space="preserve">, above n </w:t>
      </w:r>
      <w:r w:rsidRPr="002F5F1C">
        <w:t>3, 7-8.</w:t>
      </w:r>
    </w:p>
  </w:footnote>
  <w:footnote w:id="52">
    <w:p w14:paraId="7AA0D75B" w14:textId="1F3FC2EE" w:rsidR="0049067F" w:rsidRPr="002F5F1C" w:rsidRDefault="0049067F" w:rsidP="0049067F">
      <w:pPr>
        <w:pStyle w:val="FootnoteText"/>
      </w:pPr>
      <w:r w:rsidRPr="002F5F1C">
        <w:rPr>
          <w:rStyle w:val="FootnoteReference"/>
        </w:rPr>
        <w:footnoteRef/>
      </w:r>
      <w:r w:rsidR="00A06BBB">
        <w:t xml:space="preserve"> See Crock and Berg, above n </w:t>
      </w:r>
      <w:r w:rsidRPr="002F5F1C">
        <w:t>1, 25-27.</w:t>
      </w:r>
    </w:p>
  </w:footnote>
  <w:footnote w:id="53">
    <w:p w14:paraId="0772BBA4" w14:textId="77777777" w:rsidR="0049067F" w:rsidRPr="002F5F1C" w:rsidRDefault="0049067F" w:rsidP="0049067F">
      <w:pPr>
        <w:pStyle w:val="FootnoteText"/>
      </w:pPr>
      <w:r w:rsidRPr="002F5F1C">
        <w:rPr>
          <w:rStyle w:val="FootnoteReference"/>
        </w:rPr>
        <w:footnoteRef/>
      </w:r>
      <w:r w:rsidRPr="002F5F1C">
        <w:t xml:space="preserve">Andrew Markus, ‘Of continuities and discontinuities: Reflections on a century of Australian immigration’ in </w:t>
      </w:r>
      <w:proofErr w:type="spellStart"/>
      <w:r w:rsidRPr="002F5F1C">
        <w:t>Laksiri</w:t>
      </w:r>
      <w:proofErr w:type="spellEnd"/>
      <w:r w:rsidRPr="002F5F1C">
        <w:t xml:space="preserve"> </w:t>
      </w:r>
      <w:proofErr w:type="spellStart"/>
      <w:r w:rsidRPr="002F5F1C">
        <w:t>Jayasuriya</w:t>
      </w:r>
      <w:proofErr w:type="spellEnd"/>
      <w:r w:rsidRPr="002F5F1C">
        <w:t xml:space="preserve"> et al (</w:t>
      </w:r>
      <w:proofErr w:type="spellStart"/>
      <w:r w:rsidRPr="002F5F1C">
        <w:t>eds</w:t>
      </w:r>
      <w:proofErr w:type="spellEnd"/>
      <w:r w:rsidRPr="002F5F1C">
        <w:t xml:space="preserve">) </w:t>
      </w:r>
      <w:r w:rsidRPr="002F5F1C">
        <w:rPr>
          <w:i/>
          <w:iCs/>
        </w:rPr>
        <w:t>Legacies of White Australia race, culture and nation</w:t>
      </w:r>
      <w:r w:rsidRPr="002F5F1C">
        <w:t xml:space="preserve"> (University of Western Australia Press, 2003) 175, 175.</w:t>
      </w:r>
    </w:p>
  </w:footnote>
  <w:footnote w:id="54">
    <w:p w14:paraId="57954689" w14:textId="77777777" w:rsidR="0049067F" w:rsidRPr="002F5F1C" w:rsidRDefault="0049067F" w:rsidP="0049067F">
      <w:pPr>
        <w:pStyle w:val="FootnoteText"/>
      </w:pPr>
      <w:r w:rsidRPr="002F5F1C">
        <w:rPr>
          <w:rStyle w:val="FootnoteReference"/>
        </w:rPr>
        <w:footnoteRef/>
      </w:r>
      <w:r w:rsidRPr="002F5F1C">
        <w:t xml:space="preserve"> Commonwealth, </w:t>
      </w:r>
      <w:r w:rsidRPr="002F5F1C">
        <w:rPr>
          <w:i/>
          <w:iCs/>
        </w:rPr>
        <w:t>Parliamentary Debates</w:t>
      </w:r>
      <w:r w:rsidRPr="002F5F1C">
        <w:t>, House of Representatives, 12 September 1901, 4804 (Deakin).</w:t>
      </w:r>
    </w:p>
  </w:footnote>
  <w:footnote w:id="55">
    <w:p w14:paraId="14BFEC4F" w14:textId="267586B7" w:rsidR="0049067F" w:rsidRPr="002F5F1C" w:rsidRDefault="0049067F" w:rsidP="0049067F">
      <w:pPr>
        <w:pStyle w:val="FootnoteText"/>
      </w:pPr>
      <w:r w:rsidRPr="002F5F1C">
        <w:rPr>
          <w:rStyle w:val="FootnoteReference"/>
        </w:rPr>
        <w:footnoteRef/>
      </w:r>
      <w:r w:rsidR="005B43B0">
        <w:t xml:space="preserve"> Crock and Berg, above n </w:t>
      </w:r>
      <w:r w:rsidRPr="002F5F1C">
        <w:t>1, 33.</w:t>
      </w:r>
    </w:p>
  </w:footnote>
  <w:footnote w:id="56">
    <w:p w14:paraId="21D953D0" w14:textId="77777777" w:rsidR="0049067F" w:rsidRPr="002F5F1C" w:rsidRDefault="0049067F" w:rsidP="0049067F">
      <w:pPr>
        <w:pStyle w:val="FootnoteText"/>
      </w:pPr>
      <w:r w:rsidRPr="002F5F1C">
        <w:rPr>
          <w:rStyle w:val="FootnoteReference"/>
        </w:rPr>
        <w:footnoteRef/>
      </w:r>
      <w:r w:rsidRPr="002F5F1C">
        <w:t xml:space="preserve"> Ibid 28.</w:t>
      </w:r>
    </w:p>
  </w:footnote>
  <w:footnote w:id="57">
    <w:p w14:paraId="2971267C" w14:textId="5DE93DCB" w:rsidR="0049067F" w:rsidRPr="002F5F1C" w:rsidRDefault="0049067F" w:rsidP="0049067F">
      <w:pPr>
        <w:pStyle w:val="FootnoteText"/>
      </w:pPr>
      <w:r w:rsidRPr="002F5F1C">
        <w:rPr>
          <w:rStyle w:val="FootnoteReference"/>
        </w:rPr>
        <w:footnoteRef/>
      </w:r>
      <w:r w:rsidRPr="002F5F1C">
        <w:t xml:space="preserve"> Rubenstein, </w:t>
      </w:r>
      <w:r w:rsidRPr="002F5F1C">
        <w:rPr>
          <w:i/>
          <w:iCs/>
        </w:rPr>
        <w:t>Australian Citizenship Law</w:t>
      </w:r>
      <w:r w:rsidRPr="002F5F1C">
        <w:t xml:space="preserve">, </w:t>
      </w:r>
      <w:r w:rsidR="005B43B0">
        <w:t>above n 6</w:t>
      </w:r>
      <w:r w:rsidRPr="002F5F1C">
        <w:t>, 65.</w:t>
      </w:r>
    </w:p>
  </w:footnote>
  <w:footnote w:id="58">
    <w:p w14:paraId="74DE274E" w14:textId="77777777" w:rsidR="0049067F" w:rsidRPr="002F5F1C" w:rsidRDefault="0049067F" w:rsidP="0049067F">
      <w:pPr>
        <w:pStyle w:val="FootnoteText"/>
      </w:pPr>
      <w:r w:rsidRPr="002F5F1C">
        <w:rPr>
          <w:rStyle w:val="FootnoteReference"/>
        </w:rPr>
        <w:footnoteRef/>
      </w:r>
      <w:r w:rsidRPr="002F5F1C">
        <w:t xml:space="preserve"> </w:t>
      </w:r>
      <w:r w:rsidRPr="002F5F1C">
        <w:rPr>
          <w:i/>
          <w:iCs/>
          <w:lang w:eastAsia="en-AU"/>
        </w:rPr>
        <w:t>Naturalization Act 1903</w:t>
      </w:r>
      <w:r w:rsidRPr="002F5F1C">
        <w:rPr>
          <w:lang w:eastAsia="en-AU"/>
        </w:rPr>
        <w:t xml:space="preserve"> (Cth).</w:t>
      </w:r>
    </w:p>
  </w:footnote>
  <w:footnote w:id="59">
    <w:p w14:paraId="0996C763" w14:textId="77777777" w:rsidR="0049067F" w:rsidRPr="002F5F1C" w:rsidRDefault="0049067F" w:rsidP="0049067F">
      <w:pPr>
        <w:pStyle w:val="FootnoteText"/>
      </w:pPr>
      <w:r w:rsidRPr="002F5F1C">
        <w:rPr>
          <w:rStyle w:val="FootnoteReference"/>
        </w:rPr>
        <w:footnoteRef/>
      </w:r>
      <w:r w:rsidRPr="002F5F1C">
        <w:t xml:space="preserve"> </w:t>
      </w:r>
      <w:proofErr w:type="gramStart"/>
      <w:r w:rsidRPr="002F5F1C">
        <w:rPr>
          <w:lang w:eastAsia="en-AU"/>
        </w:rPr>
        <w:t>Ibid  s</w:t>
      </w:r>
      <w:proofErr w:type="gramEnd"/>
      <w:r w:rsidRPr="002F5F1C">
        <w:rPr>
          <w:lang w:eastAsia="en-AU"/>
        </w:rPr>
        <w:t xml:space="preserve"> 7.</w:t>
      </w:r>
    </w:p>
  </w:footnote>
  <w:footnote w:id="60">
    <w:p w14:paraId="786BD1BD" w14:textId="5BAA0F78" w:rsidR="0049067F" w:rsidRPr="002F5F1C" w:rsidRDefault="0049067F" w:rsidP="0049067F">
      <w:pPr>
        <w:pStyle w:val="FootnoteText"/>
      </w:pPr>
      <w:r w:rsidRPr="002F5F1C">
        <w:rPr>
          <w:rStyle w:val="FootnoteReference"/>
        </w:rPr>
        <w:footnoteRef/>
      </w:r>
      <w:r w:rsidRPr="002F5F1C">
        <w:t xml:space="preserve"> Paul Jones, </w:t>
      </w:r>
      <w:r w:rsidRPr="002F5F1C">
        <w:rPr>
          <w:i/>
          <w:iCs/>
        </w:rPr>
        <w:t>Chinese-Australian Journeys, Records on Travel, Migration &amp; Settlement 1860-1975</w:t>
      </w:r>
      <w:r w:rsidRPr="002F5F1C">
        <w:t xml:space="preserve"> (National Archives of Australia, 2005</w:t>
      </w:r>
      <w:r w:rsidR="005B43B0">
        <w:t xml:space="preserve">) 17, cited in Prince, above n </w:t>
      </w:r>
      <w:r w:rsidRPr="002F5F1C">
        <w:t>3, 88.</w:t>
      </w:r>
    </w:p>
  </w:footnote>
  <w:footnote w:id="61">
    <w:p w14:paraId="5B5A4961" w14:textId="1308B4BC" w:rsidR="0049067F" w:rsidRPr="002F5F1C" w:rsidRDefault="0049067F" w:rsidP="0049067F">
      <w:pPr>
        <w:pStyle w:val="FootnoteText"/>
      </w:pPr>
      <w:r w:rsidRPr="002F5F1C">
        <w:rPr>
          <w:rStyle w:val="FootnoteReference"/>
        </w:rPr>
        <w:footnoteRef/>
      </w:r>
      <w:r w:rsidRPr="002F5F1C">
        <w:t xml:space="preserve"> See also Rubenstein, ‘Citizenshi</w:t>
      </w:r>
      <w:r w:rsidR="00220DC0">
        <w:t>p and the Centenary’, above n 29</w:t>
      </w:r>
      <w:r w:rsidR="00B05FCB">
        <w:t xml:space="preserve">; Crock and Berg, above n </w:t>
      </w:r>
      <w:r w:rsidRPr="002F5F1C">
        <w:t xml:space="preserve">1, </w:t>
      </w:r>
      <w:proofErr w:type="spellStart"/>
      <w:r w:rsidRPr="002F5F1C">
        <w:t>ch</w:t>
      </w:r>
      <w:proofErr w:type="spellEnd"/>
      <w:r w:rsidRPr="002F5F1C">
        <w:t xml:space="preserve"> 2.</w:t>
      </w:r>
    </w:p>
  </w:footnote>
  <w:footnote w:id="62">
    <w:p w14:paraId="31BDE2AF" w14:textId="77777777" w:rsidR="0049067F" w:rsidRPr="002F5F1C" w:rsidRDefault="0049067F" w:rsidP="0049067F">
      <w:pPr>
        <w:pStyle w:val="FootnoteText"/>
      </w:pPr>
      <w:r w:rsidRPr="002F5F1C">
        <w:rPr>
          <w:rStyle w:val="FootnoteReference"/>
        </w:rPr>
        <w:footnoteRef/>
      </w:r>
      <w:r w:rsidRPr="002F5F1C">
        <w:t xml:space="preserve"> Crock and Berg, above n 61, 32.</w:t>
      </w:r>
    </w:p>
  </w:footnote>
  <w:footnote w:id="63">
    <w:p w14:paraId="5CAE223F" w14:textId="35C289FF" w:rsidR="0049067F" w:rsidRPr="002F5F1C" w:rsidRDefault="0049067F" w:rsidP="0049067F">
      <w:pPr>
        <w:pStyle w:val="FootnoteText"/>
      </w:pPr>
      <w:r w:rsidRPr="002F5F1C">
        <w:rPr>
          <w:rStyle w:val="FootnoteReference"/>
        </w:rPr>
        <w:footnoteRef/>
      </w:r>
      <w:r w:rsidRPr="002F5F1C">
        <w:t xml:space="preserve"> See, </w:t>
      </w:r>
      <w:proofErr w:type="spellStart"/>
      <w:r w:rsidRPr="002F5F1C">
        <w:t>eg</w:t>
      </w:r>
      <w:proofErr w:type="spellEnd"/>
      <w:r w:rsidRPr="002F5F1C">
        <w:t xml:space="preserve">, </w:t>
      </w:r>
      <w:r w:rsidRPr="002F5F1C">
        <w:rPr>
          <w:i/>
          <w:iCs/>
          <w:lang w:val="en-GB"/>
        </w:rPr>
        <w:t>Ah Yin v Christie</w:t>
      </w:r>
      <w:r w:rsidRPr="002F5F1C">
        <w:t xml:space="preserve"> (1907) 4 CLR 1428; </w:t>
      </w:r>
      <w:r w:rsidRPr="002F5F1C">
        <w:rPr>
          <w:i/>
          <w:iCs/>
          <w:lang w:eastAsia="en-AU"/>
        </w:rPr>
        <w:t>Donohoe v Wong Sau</w:t>
      </w:r>
      <w:r w:rsidRPr="002F5F1C">
        <w:rPr>
          <w:lang w:eastAsia="en-AU"/>
        </w:rPr>
        <w:t xml:space="preserve"> </w:t>
      </w:r>
      <w:r w:rsidRPr="002F5F1C">
        <w:t>(1925) 36 CLR 404 (‘</w:t>
      </w:r>
      <w:r w:rsidRPr="002F5F1C">
        <w:rPr>
          <w:i/>
          <w:iCs/>
          <w:lang w:eastAsia="en-AU"/>
        </w:rPr>
        <w:t>Donohoe v Wong Sau</w:t>
      </w:r>
      <w:r w:rsidRPr="002F5F1C">
        <w:rPr>
          <w:lang w:eastAsia="en-AU"/>
        </w:rPr>
        <w:t>’)</w:t>
      </w:r>
      <w:r w:rsidRPr="002F5F1C">
        <w:t xml:space="preserve"> ci</w:t>
      </w:r>
      <w:r w:rsidR="00B05FCB">
        <w:t xml:space="preserve">ted in Crock and Berg, above n </w:t>
      </w:r>
      <w:r w:rsidRPr="002F5F1C">
        <w:t>1, 32.</w:t>
      </w:r>
    </w:p>
  </w:footnote>
  <w:footnote w:id="64">
    <w:p w14:paraId="1F64C074"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 xml:space="preserve">Potter v </w:t>
      </w:r>
      <w:proofErr w:type="spellStart"/>
      <w:r w:rsidRPr="002F5F1C">
        <w:rPr>
          <w:i/>
          <w:iCs/>
        </w:rPr>
        <w:t>Minahan</w:t>
      </w:r>
      <w:proofErr w:type="spellEnd"/>
      <w:r w:rsidRPr="002F5F1C">
        <w:t>, 308.</w:t>
      </w:r>
    </w:p>
  </w:footnote>
  <w:footnote w:id="65">
    <w:p w14:paraId="7737D563" w14:textId="77777777" w:rsidR="0049067F" w:rsidRPr="002F5F1C" w:rsidRDefault="0049067F" w:rsidP="0049067F">
      <w:pPr>
        <w:pStyle w:val="FootnoteText"/>
      </w:pPr>
      <w:r w:rsidRPr="002F5F1C">
        <w:rPr>
          <w:rStyle w:val="FootnoteReference"/>
        </w:rPr>
        <w:footnoteRef/>
      </w:r>
      <w:r w:rsidRPr="002F5F1C">
        <w:t xml:space="preserve"> </w:t>
      </w:r>
      <w:r w:rsidRPr="002F5F1C">
        <w:rPr>
          <w:i/>
          <w:iCs/>
          <w:lang w:eastAsia="en-AU"/>
        </w:rPr>
        <w:t>Donohoe v Wong Sau</w:t>
      </w:r>
      <w:r w:rsidRPr="002F5F1C">
        <w:rPr>
          <w:lang w:eastAsia="en-AU"/>
        </w:rPr>
        <w:t>.</w:t>
      </w:r>
    </w:p>
  </w:footnote>
  <w:footnote w:id="66">
    <w:p w14:paraId="34024076" w14:textId="77777777" w:rsidR="0049067F" w:rsidRPr="002F5F1C" w:rsidRDefault="0049067F" w:rsidP="0049067F">
      <w:pPr>
        <w:pStyle w:val="FootnoteText"/>
      </w:pPr>
      <w:r w:rsidRPr="002F5F1C">
        <w:rPr>
          <w:rStyle w:val="FootnoteReference"/>
        </w:rPr>
        <w:footnoteRef/>
      </w:r>
      <w:r w:rsidRPr="002F5F1C">
        <w:t xml:space="preserve"> </w:t>
      </w:r>
      <w:r w:rsidRPr="002F5F1C">
        <w:rPr>
          <w:lang w:eastAsia="en-AU"/>
        </w:rPr>
        <w:t>Ibid</w:t>
      </w:r>
      <w:r w:rsidRPr="002F5F1C">
        <w:t xml:space="preserve"> 408.</w:t>
      </w:r>
    </w:p>
  </w:footnote>
  <w:footnote w:id="67">
    <w:p w14:paraId="556FAE55" w14:textId="07F7A0A5" w:rsidR="0049067F" w:rsidRPr="002F5F1C" w:rsidRDefault="0049067F" w:rsidP="0049067F">
      <w:pPr>
        <w:pStyle w:val="FootnoteText"/>
      </w:pPr>
      <w:r w:rsidRPr="002F5F1C">
        <w:rPr>
          <w:rStyle w:val="FootnoteReference"/>
        </w:rPr>
        <w:footnoteRef/>
      </w:r>
      <w:r w:rsidR="00B05FCB">
        <w:t xml:space="preserve"> Irving, above n 7</w:t>
      </w:r>
      <w:r w:rsidRPr="002F5F1C">
        <w:t>, 12.</w:t>
      </w:r>
    </w:p>
  </w:footnote>
  <w:footnote w:id="68">
    <w:p w14:paraId="387FC6F3" w14:textId="782836C6" w:rsidR="0049067F" w:rsidRPr="002F5F1C" w:rsidRDefault="0049067F" w:rsidP="0049067F">
      <w:pPr>
        <w:pStyle w:val="FootnoteText"/>
      </w:pPr>
      <w:r w:rsidRPr="002F5F1C">
        <w:rPr>
          <w:rStyle w:val="FootnoteReference"/>
        </w:rPr>
        <w:footnoteRef/>
      </w:r>
      <w:r w:rsidRPr="002F5F1C">
        <w:t xml:space="preserve"> Rubenstein, </w:t>
      </w:r>
      <w:r w:rsidRPr="002F5F1C">
        <w:rPr>
          <w:i/>
          <w:iCs/>
        </w:rPr>
        <w:t>Australian Citizenship Law</w:t>
      </w:r>
      <w:r w:rsidR="00B05FCB">
        <w:t>, above n 6</w:t>
      </w:r>
      <w:r w:rsidRPr="002F5F1C">
        <w:t>, 70.</w:t>
      </w:r>
    </w:p>
  </w:footnote>
  <w:footnote w:id="69">
    <w:p w14:paraId="19002A7A" w14:textId="77777777" w:rsidR="0049067F" w:rsidRPr="002F5F1C" w:rsidRDefault="0049067F" w:rsidP="0049067F">
      <w:pPr>
        <w:pStyle w:val="FootnoteText"/>
      </w:pPr>
      <w:r w:rsidRPr="002F5F1C">
        <w:rPr>
          <w:rStyle w:val="FootnoteReference"/>
        </w:rPr>
        <w:footnoteRef/>
      </w:r>
      <w:r w:rsidRPr="002F5F1C">
        <w:t xml:space="preserve"> Ibid 71.</w:t>
      </w:r>
    </w:p>
  </w:footnote>
  <w:footnote w:id="70">
    <w:p w14:paraId="366A47C3" w14:textId="77777777" w:rsidR="0049067F" w:rsidRPr="002F5F1C" w:rsidRDefault="0049067F" w:rsidP="0049067F">
      <w:pPr>
        <w:pStyle w:val="FootnoteText"/>
      </w:pPr>
      <w:r w:rsidRPr="002F5F1C">
        <w:rPr>
          <w:rStyle w:val="FootnoteReference"/>
        </w:rPr>
        <w:footnoteRef/>
      </w:r>
      <w:r w:rsidRPr="002F5F1C">
        <w:t xml:space="preserve"> </w:t>
      </w:r>
      <w:r w:rsidRPr="002F5F1C">
        <w:rPr>
          <w:i/>
        </w:rPr>
        <w:t>Australian Citizenship Act</w:t>
      </w:r>
      <w:r w:rsidRPr="002F5F1C">
        <w:t xml:space="preserve"> </w:t>
      </w:r>
      <w:r w:rsidRPr="002F5F1C">
        <w:rPr>
          <w:i/>
        </w:rPr>
        <w:t>1948</w:t>
      </w:r>
      <w:r w:rsidRPr="002F5F1C">
        <w:t xml:space="preserve"> s 10.</w:t>
      </w:r>
    </w:p>
  </w:footnote>
  <w:footnote w:id="71">
    <w:p w14:paraId="264FDB95" w14:textId="77777777" w:rsidR="0049067F" w:rsidRPr="002F5F1C" w:rsidRDefault="0049067F" w:rsidP="0049067F">
      <w:pPr>
        <w:pStyle w:val="FootnoteText"/>
      </w:pPr>
      <w:r w:rsidRPr="002F5F1C">
        <w:rPr>
          <w:rStyle w:val="FootnoteReference"/>
        </w:rPr>
        <w:footnoteRef/>
      </w:r>
      <w:r w:rsidRPr="002F5F1C">
        <w:t xml:space="preserve"> </w:t>
      </w:r>
      <w:r w:rsidRPr="002F5F1C">
        <w:rPr>
          <w:iCs/>
        </w:rPr>
        <w:t>Ibid</w:t>
      </w:r>
      <w:r w:rsidRPr="002F5F1C">
        <w:t xml:space="preserve"> s 14.</w:t>
      </w:r>
    </w:p>
  </w:footnote>
  <w:footnote w:id="72">
    <w:p w14:paraId="60A7B181" w14:textId="46157549" w:rsidR="0049067F" w:rsidRPr="002F5F1C" w:rsidRDefault="0049067F" w:rsidP="0049067F">
      <w:pPr>
        <w:pStyle w:val="FootnoteText"/>
      </w:pPr>
      <w:r w:rsidRPr="002F5F1C">
        <w:rPr>
          <w:rStyle w:val="FootnoteReference"/>
        </w:rPr>
        <w:footnoteRef/>
      </w:r>
      <w:r w:rsidRPr="002F5F1C">
        <w:t xml:space="preserve"> Rubenstein, ‘Citizenship and the Centenary’, above n </w:t>
      </w:r>
      <w:r w:rsidR="00220DC0">
        <w:t>29</w:t>
      </w:r>
      <w:r w:rsidRPr="002F5F1C">
        <w:t>, 588.</w:t>
      </w:r>
    </w:p>
  </w:footnote>
  <w:footnote w:id="73">
    <w:p w14:paraId="1C517B8E" w14:textId="1EAAC1A0" w:rsidR="0049067F" w:rsidRPr="002F5F1C" w:rsidRDefault="0049067F" w:rsidP="0049067F">
      <w:pPr>
        <w:pStyle w:val="FootnoteText"/>
      </w:pPr>
      <w:r w:rsidRPr="002F5F1C">
        <w:rPr>
          <w:rStyle w:val="FootnoteReference"/>
        </w:rPr>
        <w:footnoteRef/>
      </w:r>
      <w:r w:rsidRPr="002F5F1C">
        <w:t xml:space="preserve"> Chesterman and Galligan, </w:t>
      </w:r>
      <w:r w:rsidRPr="002F5F1C">
        <w:rPr>
          <w:i/>
          <w:iCs/>
        </w:rPr>
        <w:t>Defining Australian Citizenship</w:t>
      </w:r>
      <w:r w:rsidR="00B05FCB">
        <w:t xml:space="preserve">, above n </w:t>
      </w:r>
      <w:r w:rsidRPr="002F5F1C">
        <w:t>3, 5.</w:t>
      </w:r>
    </w:p>
  </w:footnote>
  <w:footnote w:id="74">
    <w:p w14:paraId="7CFDBA51" w14:textId="3679E91B" w:rsidR="0049067F" w:rsidRPr="002F5F1C" w:rsidRDefault="0049067F" w:rsidP="0049067F">
      <w:pPr>
        <w:pStyle w:val="FootnoteText"/>
      </w:pPr>
      <w:r w:rsidRPr="002F5F1C">
        <w:rPr>
          <w:rStyle w:val="FootnoteReference"/>
        </w:rPr>
        <w:footnoteRef/>
      </w:r>
      <w:r w:rsidR="00B05FCB">
        <w:t xml:space="preserve"> Crock and Berg, above n </w:t>
      </w:r>
      <w:r w:rsidRPr="002F5F1C">
        <w:t>1, 35.</w:t>
      </w:r>
    </w:p>
  </w:footnote>
  <w:footnote w:id="75">
    <w:p w14:paraId="2CE1BD6C" w14:textId="16764FD8" w:rsidR="0049067F" w:rsidRPr="002F5F1C" w:rsidRDefault="0049067F" w:rsidP="0049067F">
      <w:pPr>
        <w:pStyle w:val="FootnoteText"/>
      </w:pPr>
      <w:r w:rsidRPr="002F5F1C">
        <w:rPr>
          <w:rStyle w:val="FootnoteReference"/>
        </w:rPr>
        <w:footnoteRef/>
      </w:r>
      <w:r w:rsidRPr="002F5F1C">
        <w:t xml:space="preserve"> Markus, above n </w:t>
      </w:r>
      <w:r w:rsidR="00623C5A">
        <w:t>53</w:t>
      </w:r>
      <w:r w:rsidRPr="002F5F1C">
        <w:t>, 183.</w:t>
      </w:r>
    </w:p>
  </w:footnote>
  <w:footnote w:id="76">
    <w:p w14:paraId="6B2CA5C8" w14:textId="77777777" w:rsidR="0049067F" w:rsidRPr="002F5F1C" w:rsidRDefault="0049067F" w:rsidP="0049067F">
      <w:pPr>
        <w:pStyle w:val="FootnoteText"/>
        <w:rPr>
          <w:lang w:val="en-GB"/>
        </w:rPr>
      </w:pPr>
      <w:r w:rsidRPr="002F5F1C">
        <w:rPr>
          <w:rStyle w:val="FootnoteReference"/>
        </w:rPr>
        <w:footnoteRef/>
      </w:r>
      <w:r w:rsidRPr="002F5F1C">
        <w:t xml:space="preserve"> Alastair Davidson</w:t>
      </w:r>
      <w:r w:rsidRPr="002F5F1C">
        <w:rPr>
          <w:lang w:val="en-GB"/>
        </w:rPr>
        <w:t xml:space="preserve">, </w:t>
      </w:r>
      <w:r w:rsidRPr="002F5F1C">
        <w:rPr>
          <w:i/>
          <w:lang w:val="en-GB"/>
        </w:rPr>
        <w:t>From Subject to Citizen: Australian </w:t>
      </w:r>
      <w:r w:rsidRPr="002F5F1C">
        <w:rPr>
          <w:bCs/>
          <w:i/>
          <w:lang w:val="en-GB"/>
        </w:rPr>
        <w:t>Citizenship</w:t>
      </w:r>
      <w:r w:rsidRPr="002F5F1C">
        <w:rPr>
          <w:i/>
          <w:lang w:val="en-GB"/>
        </w:rPr>
        <w:t xml:space="preserve"> in the Twentieth Century </w:t>
      </w:r>
      <w:r w:rsidRPr="002F5F1C">
        <w:rPr>
          <w:lang w:val="en-GB"/>
        </w:rPr>
        <w:t>(Cambridge University Press, 1997) 91-92.</w:t>
      </w:r>
    </w:p>
  </w:footnote>
  <w:footnote w:id="77">
    <w:p w14:paraId="2AE0E9C9" w14:textId="77777777" w:rsidR="0049067F" w:rsidRPr="002F5F1C" w:rsidRDefault="0049067F" w:rsidP="0049067F">
      <w:pPr>
        <w:pStyle w:val="FootnoteText"/>
      </w:pPr>
      <w:r w:rsidRPr="002F5F1C">
        <w:rPr>
          <w:rStyle w:val="FootnoteReference"/>
        </w:rPr>
        <w:footnoteRef/>
      </w:r>
      <w:r w:rsidRPr="002F5F1C">
        <w:t xml:space="preserve"> David Dutton, </w:t>
      </w:r>
      <w:r w:rsidRPr="002F5F1C">
        <w:rPr>
          <w:i/>
        </w:rPr>
        <w:t>One of Us: A Century of Australian Citizenship</w:t>
      </w:r>
      <w:r w:rsidRPr="002F5F1C">
        <w:t xml:space="preserve"> (University of New South Wales Press, 2002) 150.</w:t>
      </w:r>
    </w:p>
  </w:footnote>
  <w:footnote w:id="78">
    <w:p w14:paraId="11758EE0" w14:textId="26B4D19C" w:rsidR="0049067F" w:rsidRPr="002F5F1C" w:rsidRDefault="0049067F" w:rsidP="0049067F">
      <w:pPr>
        <w:pStyle w:val="FootnoteText"/>
        <w:rPr>
          <w:lang w:val="en-GB"/>
        </w:rPr>
      </w:pPr>
      <w:r w:rsidRPr="002F5F1C">
        <w:rPr>
          <w:rStyle w:val="FootnoteReference"/>
        </w:rPr>
        <w:footnoteRef/>
      </w:r>
      <w:r w:rsidRPr="002F5F1C">
        <w:t xml:space="preserve"> </w:t>
      </w:r>
      <w:r w:rsidR="00623C5A" w:rsidRPr="002F5F1C">
        <w:t>David Dutton, </w:t>
      </w:r>
      <w:r w:rsidR="00623C5A" w:rsidRPr="002F5F1C">
        <w:rPr>
          <w:i/>
          <w:iCs/>
        </w:rPr>
        <w:t>Citizenship in Australia: A Guide to Commonwealth Government Records</w:t>
      </w:r>
      <w:r w:rsidR="00623C5A" w:rsidRPr="002F5F1C">
        <w:t> (1999)</w:t>
      </w:r>
      <w:r w:rsidRPr="002F5F1C">
        <w:t>,</w:t>
      </w:r>
      <w:r w:rsidRPr="002F5F1C">
        <w:rPr>
          <w:i/>
          <w:iCs/>
        </w:rPr>
        <w:t xml:space="preserve"> </w:t>
      </w:r>
      <w:r w:rsidRPr="002F5F1C">
        <w:t>14.</w:t>
      </w:r>
    </w:p>
  </w:footnote>
  <w:footnote w:id="79">
    <w:p w14:paraId="65F6EC75" w14:textId="77777777" w:rsidR="0049067F" w:rsidRPr="002F5F1C" w:rsidRDefault="0049067F" w:rsidP="0049067F">
      <w:pPr>
        <w:pStyle w:val="FootnoteText"/>
        <w:rPr>
          <w:lang w:val="en-GB"/>
        </w:rPr>
      </w:pPr>
      <w:r w:rsidRPr="002F5F1C">
        <w:rPr>
          <w:rStyle w:val="FootnoteReference"/>
        </w:rPr>
        <w:footnoteRef/>
      </w:r>
      <w:r w:rsidRPr="002F5F1C">
        <w:t xml:space="preserve"> Ann-Mari </w:t>
      </w:r>
      <w:proofErr w:type="spellStart"/>
      <w:r w:rsidRPr="002F5F1C">
        <w:t>Jordens</w:t>
      </w:r>
      <w:proofErr w:type="spellEnd"/>
      <w:r w:rsidRPr="002F5F1C">
        <w:t xml:space="preserve">, </w:t>
      </w:r>
      <w:r w:rsidRPr="002F5F1C">
        <w:rPr>
          <w:i/>
          <w:iCs/>
        </w:rPr>
        <w:t>Redefining Australians: Immigration, Citizenship and National Identity</w:t>
      </w:r>
      <w:r w:rsidRPr="002F5F1C">
        <w:t xml:space="preserve"> (Hale and </w:t>
      </w:r>
      <w:proofErr w:type="spellStart"/>
      <w:r w:rsidRPr="002F5F1C">
        <w:t>Iremonger</w:t>
      </w:r>
      <w:proofErr w:type="spellEnd"/>
      <w:r w:rsidRPr="002F5F1C">
        <w:t>, 1995) 6.</w:t>
      </w:r>
    </w:p>
  </w:footnote>
  <w:footnote w:id="80">
    <w:p w14:paraId="4CDA307A" w14:textId="77777777" w:rsidR="0049067F" w:rsidRPr="002F5F1C" w:rsidRDefault="0049067F" w:rsidP="0049067F">
      <w:pPr>
        <w:pStyle w:val="FootnoteText"/>
      </w:pPr>
      <w:r w:rsidRPr="002F5F1C">
        <w:rPr>
          <w:rStyle w:val="FootnoteReference"/>
        </w:rPr>
        <w:footnoteRef/>
      </w:r>
      <w:r w:rsidRPr="002F5F1C">
        <w:t xml:space="preserve"> Kim Rubenstein, ‘‘From this time forward... I pledge my loyalty to Australia’: loyalty, citizenship and constitutional law in Australia’ in Victoria Mason and Richard Nile (</w:t>
      </w:r>
      <w:proofErr w:type="spellStart"/>
      <w:r w:rsidRPr="002F5F1C">
        <w:t>eds</w:t>
      </w:r>
      <w:proofErr w:type="spellEnd"/>
      <w:r w:rsidRPr="002F5F1C">
        <w:t xml:space="preserve">), </w:t>
      </w:r>
      <w:r w:rsidRPr="002F5F1C">
        <w:rPr>
          <w:i/>
        </w:rPr>
        <w:t>Loyalties: Symposia Series</w:t>
      </w:r>
      <w:r w:rsidRPr="002F5F1C">
        <w:t xml:space="preserve"> (API Network Press, 2005) 23, 26.</w:t>
      </w:r>
    </w:p>
  </w:footnote>
  <w:footnote w:id="81">
    <w:p w14:paraId="69828857" w14:textId="77777777" w:rsidR="0049067F" w:rsidRPr="002F5F1C" w:rsidRDefault="0049067F" w:rsidP="0049067F">
      <w:pPr>
        <w:pStyle w:val="FootnoteText"/>
      </w:pPr>
      <w:r w:rsidRPr="002F5F1C">
        <w:rPr>
          <w:rStyle w:val="FootnoteReference"/>
        </w:rPr>
        <w:footnoteRef/>
      </w:r>
      <w:r w:rsidRPr="002F5F1C">
        <w:t xml:space="preserve"> Commonwealth,</w:t>
      </w:r>
      <w:r w:rsidRPr="002F5F1C">
        <w:rPr>
          <w:i/>
          <w:iCs/>
        </w:rPr>
        <w:t xml:space="preserve"> Parliamentary Debates</w:t>
      </w:r>
      <w:r w:rsidRPr="002F5F1C">
        <w:t>, Representatives, 30 September 1948, 1062.</w:t>
      </w:r>
    </w:p>
  </w:footnote>
  <w:footnote w:id="82">
    <w:p w14:paraId="4FB57182" w14:textId="3B779695" w:rsidR="0049067F" w:rsidRPr="002F5F1C" w:rsidRDefault="0049067F" w:rsidP="0049067F">
      <w:pPr>
        <w:pStyle w:val="FootnoteText"/>
      </w:pPr>
      <w:r w:rsidRPr="002F5F1C">
        <w:rPr>
          <w:rStyle w:val="FootnoteReference"/>
        </w:rPr>
        <w:footnoteRef/>
      </w:r>
      <w:r w:rsidRPr="002F5F1C">
        <w:t xml:space="preserve"> Dutton, </w:t>
      </w:r>
      <w:r w:rsidRPr="002F5F1C">
        <w:rPr>
          <w:i/>
          <w:iCs/>
        </w:rPr>
        <w:t xml:space="preserve">Citizenship in Australia, </w:t>
      </w:r>
      <w:r w:rsidRPr="002F5F1C">
        <w:t xml:space="preserve">above n </w:t>
      </w:r>
      <w:r w:rsidR="00F6047B">
        <w:t>78</w:t>
      </w:r>
      <w:r w:rsidRPr="002F5F1C">
        <w:t>,</w:t>
      </w:r>
      <w:r w:rsidRPr="002F5F1C">
        <w:rPr>
          <w:i/>
          <w:iCs/>
        </w:rPr>
        <w:t xml:space="preserve"> </w:t>
      </w:r>
      <w:r w:rsidRPr="002F5F1C">
        <w:t>15.</w:t>
      </w:r>
    </w:p>
  </w:footnote>
  <w:footnote w:id="83">
    <w:p w14:paraId="7ED06463" w14:textId="77777777" w:rsidR="0049067F" w:rsidRPr="002F5F1C" w:rsidRDefault="0049067F" w:rsidP="0049067F">
      <w:pPr>
        <w:pStyle w:val="FootnoteText"/>
      </w:pPr>
      <w:r w:rsidRPr="002F5F1C">
        <w:rPr>
          <w:rStyle w:val="FootnoteReference"/>
        </w:rPr>
        <w:footnoteRef/>
      </w:r>
      <w:r w:rsidRPr="002F5F1C">
        <w:t xml:space="preserve"> Ibid 16.</w:t>
      </w:r>
    </w:p>
  </w:footnote>
  <w:footnote w:id="84">
    <w:p w14:paraId="1BA813D7" w14:textId="77777777" w:rsidR="0049067F" w:rsidRPr="002F5F1C" w:rsidRDefault="0049067F" w:rsidP="0049067F">
      <w:pPr>
        <w:pStyle w:val="FootnoteText"/>
      </w:pPr>
      <w:r w:rsidRPr="002F5F1C">
        <w:rPr>
          <w:rStyle w:val="FootnoteReference"/>
        </w:rPr>
        <w:footnoteRef/>
      </w:r>
      <w:r w:rsidRPr="002F5F1C">
        <w:t xml:space="preserve"> Australian Bureau of Statistics, ‘Census Silhouette’, </w:t>
      </w:r>
      <w:r w:rsidRPr="002F5F1C">
        <w:rPr>
          <w:i/>
          <w:iCs/>
        </w:rPr>
        <w:t>Census of the Commonwealth of Australia, 1954</w:t>
      </w:r>
      <w:r w:rsidRPr="002F5F1C">
        <w:t>,</w:t>
      </w:r>
      <w:r w:rsidRPr="002F5F1C">
        <w:rPr>
          <w:b/>
          <w:bCs/>
        </w:rPr>
        <w:t xml:space="preserve"> </w:t>
      </w:r>
      <w:r w:rsidRPr="002F5F1C">
        <w:t>20.</w:t>
      </w:r>
      <w:r w:rsidRPr="002F5F1C">
        <w:rPr>
          <w:b/>
          <w:bCs/>
        </w:rPr>
        <w:t> </w:t>
      </w:r>
    </w:p>
  </w:footnote>
  <w:footnote w:id="85">
    <w:p w14:paraId="1A0DEBE9" w14:textId="77777777" w:rsidR="0049067F" w:rsidRPr="002F5F1C" w:rsidRDefault="0049067F" w:rsidP="0049067F">
      <w:pPr>
        <w:pStyle w:val="FootnoteText"/>
      </w:pPr>
      <w:r w:rsidRPr="002F5F1C">
        <w:rPr>
          <w:rStyle w:val="FootnoteReference"/>
        </w:rPr>
        <w:footnoteRef/>
      </w:r>
      <w:r w:rsidRPr="002F5F1C">
        <w:t xml:space="preserve"> Tasman </w:t>
      </w:r>
      <w:proofErr w:type="spellStart"/>
      <w:r w:rsidRPr="002F5F1C">
        <w:t>Heyes</w:t>
      </w:r>
      <w:proofErr w:type="spellEnd"/>
      <w:r w:rsidRPr="002F5F1C">
        <w:t>, Census Returns – Nationality, A432, 1961/3191, quoted in Dutton, </w:t>
      </w:r>
      <w:r w:rsidRPr="002F5F1C">
        <w:rPr>
          <w:i/>
          <w:iCs/>
        </w:rPr>
        <w:t xml:space="preserve">Citizenship in Australia, </w:t>
      </w:r>
      <w:r w:rsidRPr="002F5F1C">
        <w:t>above n 33,</w:t>
      </w:r>
      <w:r w:rsidRPr="002F5F1C">
        <w:rPr>
          <w:i/>
          <w:iCs/>
        </w:rPr>
        <w:t xml:space="preserve"> </w:t>
      </w:r>
      <w:r w:rsidRPr="002F5F1C">
        <w:t>20.</w:t>
      </w:r>
    </w:p>
  </w:footnote>
  <w:footnote w:id="86">
    <w:p w14:paraId="23200417" w14:textId="0B6D0691" w:rsidR="0049067F" w:rsidRPr="002F5F1C" w:rsidRDefault="0049067F" w:rsidP="0049067F">
      <w:pPr>
        <w:pStyle w:val="FootnoteText"/>
      </w:pPr>
      <w:r w:rsidRPr="002F5F1C">
        <w:rPr>
          <w:rStyle w:val="FootnoteReference"/>
        </w:rPr>
        <w:footnoteRef/>
      </w:r>
      <w:r w:rsidRPr="002F5F1C">
        <w:t xml:space="preserve"> </w:t>
      </w:r>
      <w:bookmarkStart w:id="7" w:name="OLE_LINK5"/>
      <w:bookmarkStart w:id="8" w:name="OLE_LINK6"/>
      <w:r w:rsidRPr="002F5F1C">
        <w:t>Davidson</w:t>
      </w:r>
      <w:r w:rsidRPr="002F5F1C">
        <w:rPr>
          <w:lang w:val="en-GB"/>
        </w:rPr>
        <w:t xml:space="preserve">, above n </w:t>
      </w:r>
      <w:r w:rsidR="00F6047B">
        <w:rPr>
          <w:lang w:val="en-GB"/>
        </w:rPr>
        <w:t>76</w:t>
      </w:r>
      <w:r w:rsidRPr="002F5F1C">
        <w:rPr>
          <w:lang w:val="en-GB"/>
        </w:rPr>
        <w:t>, 92.</w:t>
      </w:r>
      <w:bookmarkEnd w:id="7"/>
      <w:bookmarkEnd w:id="8"/>
    </w:p>
  </w:footnote>
  <w:footnote w:id="87">
    <w:p w14:paraId="1E49B3E9" w14:textId="77777777" w:rsidR="0049067F" w:rsidRPr="002F5F1C" w:rsidRDefault="0049067F" w:rsidP="0049067F">
      <w:pPr>
        <w:pStyle w:val="FootnoteText"/>
      </w:pPr>
      <w:r w:rsidRPr="002F5F1C">
        <w:rPr>
          <w:rStyle w:val="FootnoteReference"/>
        </w:rPr>
        <w:footnoteRef/>
      </w:r>
      <w:r w:rsidRPr="002F5F1C">
        <w:t xml:space="preserve"> Ibid</w:t>
      </w:r>
      <w:r w:rsidRPr="002F5F1C">
        <w:rPr>
          <w:lang w:val="en-GB"/>
        </w:rPr>
        <w:t>.</w:t>
      </w:r>
    </w:p>
  </w:footnote>
  <w:footnote w:id="88">
    <w:p w14:paraId="0C87A50C" w14:textId="6EA150CE" w:rsidR="0049067F" w:rsidRPr="002F5F1C" w:rsidRDefault="0049067F" w:rsidP="0049067F">
      <w:pPr>
        <w:pStyle w:val="FootnoteText"/>
        <w:rPr>
          <w:lang w:val="en-GB"/>
        </w:rPr>
      </w:pPr>
      <w:r w:rsidRPr="002F5F1C">
        <w:rPr>
          <w:rStyle w:val="FootnoteReference"/>
        </w:rPr>
        <w:footnoteRef/>
      </w:r>
      <w:r w:rsidRPr="002F5F1C">
        <w:t xml:space="preserve"> See, </w:t>
      </w:r>
      <w:proofErr w:type="spellStart"/>
      <w:r w:rsidRPr="002F5F1C">
        <w:t>eg</w:t>
      </w:r>
      <w:proofErr w:type="spellEnd"/>
      <w:r w:rsidRPr="002F5F1C">
        <w:t>, Migrant Workers’ Accommodation Division, Department of Labour and National Service, ‘Policy – Mixing of British and Alien migrants’ (1951) SP446/1,51/4/669, cited in David Dutton, </w:t>
      </w:r>
      <w:r w:rsidRPr="002F5F1C">
        <w:rPr>
          <w:i/>
          <w:iCs/>
        </w:rPr>
        <w:t xml:space="preserve">Citizenship in Australia, </w:t>
      </w:r>
      <w:r w:rsidRPr="002F5F1C">
        <w:t xml:space="preserve">above n </w:t>
      </w:r>
      <w:r w:rsidR="00F6047B">
        <w:t>78</w:t>
      </w:r>
      <w:r w:rsidRPr="002F5F1C">
        <w:t>,</w:t>
      </w:r>
      <w:r w:rsidRPr="002F5F1C">
        <w:rPr>
          <w:i/>
          <w:iCs/>
        </w:rPr>
        <w:t xml:space="preserve"> </w:t>
      </w:r>
      <w:r w:rsidRPr="002F5F1C">
        <w:t>54.</w:t>
      </w:r>
    </w:p>
  </w:footnote>
  <w:footnote w:id="89">
    <w:p w14:paraId="4AD38810" w14:textId="77777777" w:rsidR="0049067F" w:rsidRPr="002F5F1C" w:rsidRDefault="0049067F" w:rsidP="0049067F">
      <w:pPr>
        <w:pStyle w:val="FootnoteText"/>
      </w:pPr>
      <w:r w:rsidRPr="002F5F1C">
        <w:rPr>
          <w:rStyle w:val="FootnoteReference"/>
        </w:rPr>
        <w:footnoteRef/>
      </w:r>
      <w:r w:rsidRPr="002F5F1C">
        <w:t xml:space="preserve"> See </w:t>
      </w:r>
      <w:r w:rsidRPr="002F5F1C">
        <w:rPr>
          <w:i/>
          <w:iCs/>
        </w:rPr>
        <w:t xml:space="preserve">Patricia Anne Bernadette </w:t>
      </w:r>
      <w:proofErr w:type="spellStart"/>
      <w:r w:rsidRPr="002F5F1C">
        <w:rPr>
          <w:i/>
          <w:iCs/>
        </w:rPr>
        <w:t>Jenkings</w:t>
      </w:r>
      <w:proofErr w:type="spellEnd"/>
      <w:r w:rsidRPr="002F5F1C">
        <w:rPr>
          <w:i/>
          <w:iCs/>
        </w:rPr>
        <w:t>, Australian Political Elites and Citizenship Education for `New Australians' 1945-1960</w:t>
      </w:r>
      <w:r w:rsidRPr="002F5F1C">
        <w:t xml:space="preserve"> (PhD thesis, The University of Sydney, 2001) 62.</w:t>
      </w:r>
    </w:p>
  </w:footnote>
  <w:footnote w:id="90">
    <w:p w14:paraId="3017AB53" w14:textId="1F5AA0A1" w:rsidR="0049067F" w:rsidRPr="002F5F1C" w:rsidRDefault="0049067F" w:rsidP="0049067F">
      <w:pPr>
        <w:pStyle w:val="FootnoteText"/>
      </w:pPr>
      <w:r w:rsidRPr="002F5F1C">
        <w:rPr>
          <w:rStyle w:val="FootnoteReference"/>
        </w:rPr>
        <w:footnoteRef/>
      </w:r>
      <w:r w:rsidRPr="002F5F1C">
        <w:t xml:space="preserve"> Rubenstein, </w:t>
      </w:r>
      <w:r w:rsidRPr="002F5F1C">
        <w:rPr>
          <w:i/>
          <w:iCs/>
        </w:rPr>
        <w:t>Australian Citizenship Law</w:t>
      </w:r>
      <w:r w:rsidRPr="002F5F1C">
        <w:t xml:space="preserve">, above n </w:t>
      </w:r>
      <w:r w:rsidR="00F6047B">
        <w:t>6</w:t>
      </w:r>
      <w:r w:rsidRPr="002F5F1C">
        <w:t>, 59.</w:t>
      </w:r>
    </w:p>
  </w:footnote>
  <w:footnote w:id="91">
    <w:p w14:paraId="17145D01" w14:textId="77777777" w:rsidR="0049067F" w:rsidRPr="002F5F1C" w:rsidRDefault="0049067F" w:rsidP="0049067F">
      <w:pPr>
        <w:pStyle w:val="FootnoteText"/>
      </w:pPr>
      <w:r w:rsidRPr="002F5F1C">
        <w:rPr>
          <w:rStyle w:val="FootnoteReference"/>
        </w:rPr>
        <w:footnoteRef/>
      </w:r>
      <w:r w:rsidRPr="002F5F1C">
        <w:t xml:space="preserve"> John Chesterman and Brian Galligan, </w:t>
      </w:r>
      <w:r w:rsidRPr="002F5F1C">
        <w:rPr>
          <w:i/>
          <w:iCs/>
        </w:rPr>
        <w:t>Citizens Without Rights</w:t>
      </w:r>
      <w:r w:rsidRPr="002F5F1C">
        <w:t xml:space="preserve"> (Cambridge University Press, 1997) 119.</w:t>
      </w:r>
    </w:p>
  </w:footnote>
  <w:footnote w:id="92">
    <w:p w14:paraId="0340BEA4" w14:textId="77777777" w:rsidR="0049067F" w:rsidRPr="002F5F1C" w:rsidRDefault="0049067F" w:rsidP="0049067F">
      <w:pPr>
        <w:pStyle w:val="FootnoteText"/>
      </w:pPr>
      <w:r w:rsidRPr="002F5F1C">
        <w:rPr>
          <w:rStyle w:val="FootnoteReference"/>
        </w:rPr>
        <w:footnoteRef/>
      </w:r>
      <w:r w:rsidRPr="002F5F1C">
        <w:t xml:space="preserve"> Ibid.</w:t>
      </w:r>
    </w:p>
  </w:footnote>
  <w:footnote w:id="93">
    <w:p w14:paraId="65DE53CC" w14:textId="77777777" w:rsidR="0049067F" w:rsidRPr="002F5F1C" w:rsidRDefault="0049067F" w:rsidP="0049067F">
      <w:pPr>
        <w:pStyle w:val="FootnoteText"/>
      </w:pPr>
      <w:r w:rsidRPr="002F5F1C">
        <w:rPr>
          <w:rStyle w:val="FootnoteReference"/>
        </w:rPr>
        <w:footnoteRef/>
      </w:r>
      <w:r w:rsidRPr="002F5F1C">
        <w:t xml:space="preserve"> Ibid 156</w:t>
      </w:r>
      <w:r w:rsidRPr="002F5F1C">
        <w:rPr>
          <w:lang w:val="en-US"/>
        </w:rPr>
        <w:t>.</w:t>
      </w:r>
    </w:p>
  </w:footnote>
  <w:footnote w:id="94">
    <w:p w14:paraId="1D419820" w14:textId="77777777" w:rsidR="0049067F" w:rsidRPr="002F5F1C" w:rsidRDefault="0049067F" w:rsidP="0049067F">
      <w:pPr>
        <w:pStyle w:val="FootnoteText"/>
      </w:pPr>
      <w:r w:rsidRPr="002F5F1C">
        <w:rPr>
          <w:rStyle w:val="FootnoteReference"/>
        </w:rPr>
        <w:footnoteRef/>
      </w:r>
      <w:r w:rsidRPr="002F5F1C">
        <w:t xml:space="preserve"> Ibid 171. See also Mary Crock and Mike Butler, ‘</w:t>
      </w:r>
      <w:r w:rsidRPr="002F5F1C">
        <w:rPr>
          <w:lang w:val="en-US"/>
        </w:rPr>
        <w:t>Inside-Outsiders and the Constitution: How Australians’ right to travel was lost’ (2018) [upcoming].</w:t>
      </w:r>
    </w:p>
  </w:footnote>
  <w:footnote w:id="95">
    <w:p w14:paraId="7875B407" w14:textId="62A13E20" w:rsidR="0049067F" w:rsidRPr="002F5F1C" w:rsidRDefault="0049067F" w:rsidP="0049067F">
      <w:pPr>
        <w:pStyle w:val="FootnoteText"/>
      </w:pPr>
      <w:r w:rsidRPr="002F5F1C">
        <w:rPr>
          <w:rStyle w:val="FootnoteReference"/>
        </w:rPr>
        <w:footnoteRef/>
      </w:r>
      <w:r w:rsidRPr="002F5F1C">
        <w:t xml:space="preserve"> Dutton, </w:t>
      </w:r>
      <w:r w:rsidRPr="002F5F1C">
        <w:rPr>
          <w:i/>
        </w:rPr>
        <w:t>One of Us</w:t>
      </w:r>
      <w:r w:rsidRPr="002F5F1C">
        <w:rPr>
          <w:iCs/>
        </w:rPr>
        <w:t>,</w:t>
      </w:r>
      <w:r w:rsidRPr="002F5F1C">
        <w:t xml:space="preserve"> above n </w:t>
      </w:r>
      <w:r w:rsidR="00F6047B">
        <w:t>77</w:t>
      </w:r>
      <w:r w:rsidRPr="002F5F1C">
        <w:t>, 77.</w:t>
      </w:r>
    </w:p>
  </w:footnote>
  <w:footnote w:id="96">
    <w:p w14:paraId="5688576B" w14:textId="09344146" w:rsidR="0049067F" w:rsidRPr="002F5F1C" w:rsidRDefault="0049067F" w:rsidP="0049067F">
      <w:pPr>
        <w:pStyle w:val="FootnoteText"/>
        <w:rPr>
          <w:lang w:val="en-GB"/>
        </w:rPr>
      </w:pPr>
      <w:r w:rsidRPr="002F5F1C">
        <w:rPr>
          <w:rStyle w:val="FootnoteReference"/>
        </w:rPr>
        <w:footnoteRef/>
      </w:r>
      <w:r w:rsidRPr="002F5F1C">
        <w:t xml:space="preserve"> Dutton, </w:t>
      </w:r>
      <w:r w:rsidRPr="002F5F1C">
        <w:rPr>
          <w:i/>
          <w:iCs/>
        </w:rPr>
        <w:t xml:space="preserve">Citizenship in Australia, </w:t>
      </w:r>
      <w:r w:rsidRPr="002F5F1C">
        <w:t xml:space="preserve">above n </w:t>
      </w:r>
      <w:r w:rsidR="00F6047B">
        <w:t>78</w:t>
      </w:r>
      <w:r w:rsidRPr="002F5F1C">
        <w:t>,</w:t>
      </w:r>
      <w:r w:rsidRPr="002F5F1C">
        <w:rPr>
          <w:i/>
          <w:iCs/>
        </w:rPr>
        <w:t xml:space="preserve"> </w:t>
      </w:r>
      <w:r w:rsidRPr="002F5F1C">
        <w:t>48</w:t>
      </w:r>
    </w:p>
  </w:footnote>
  <w:footnote w:id="97">
    <w:p w14:paraId="478E8CD8" w14:textId="77777777" w:rsidR="0049067F" w:rsidRPr="002F5F1C" w:rsidRDefault="0049067F" w:rsidP="0049067F">
      <w:pPr>
        <w:pStyle w:val="FootnoteText"/>
        <w:rPr>
          <w:lang w:val="en-GB"/>
        </w:rPr>
      </w:pPr>
      <w:r w:rsidRPr="002F5F1C">
        <w:rPr>
          <w:rStyle w:val="FootnoteReference"/>
        </w:rPr>
        <w:footnoteRef/>
      </w:r>
      <w:r w:rsidRPr="002F5F1C">
        <w:t xml:space="preserve"> Ibid.</w:t>
      </w:r>
    </w:p>
  </w:footnote>
  <w:footnote w:id="98">
    <w:p w14:paraId="42BE26AA" w14:textId="0C48EC68" w:rsidR="0049067F" w:rsidRPr="002F5F1C" w:rsidRDefault="0049067F" w:rsidP="0049067F">
      <w:pPr>
        <w:pStyle w:val="FootnoteText"/>
      </w:pPr>
      <w:r w:rsidRPr="002F5F1C">
        <w:rPr>
          <w:rStyle w:val="FootnoteReference"/>
        </w:rPr>
        <w:footnoteRef/>
      </w:r>
      <w:r w:rsidRPr="002F5F1C">
        <w:t xml:space="preserve"> Chesterman and Galligan, </w:t>
      </w:r>
      <w:r w:rsidRPr="002F5F1C">
        <w:rPr>
          <w:i/>
          <w:iCs/>
        </w:rPr>
        <w:t>Defining Australian Citizenship</w:t>
      </w:r>
      <w:r w:rsidR="00B05FCB">
        <w:t xml:space="preserve">, above n </w:t>
      </w:r>
      <w:r w:rsidRPr="002F5F1C">
        <w:t>3, 3.</w:t>
      </w:r>
    </w:p>
  </w:footnote>
  <w:footnote w:id="99">
    <w:p w14:paraId="13DE2CB0" w14:textId="77777777" w:rsidR="0049067F" w:rsidRPr="002F5F1C" w:rsidRDefault="0049067F" w:rsidP="0049067F">
      <w:pPr>
        <w:pStyle w:val="FootnoteText"/>
      </w:pPr>
      <w:r w:rsidRPr="002F5F1C">
        <w:rPr>
          <w:rStyle w:val="FootnoteReference"/>
        </w:rPr>
        <w:footnoteRef/>
      </w:r>
      <w:r w:rsidRPr="002F5F1C">
        <w:t xml:space="preserve"> Ibid.</w:t>
      </w:r>
    </w:p>
  </w:footnote>
  <w:footnote w:id="100">
    <w:p w14:paraId="4D65291D" w14:textId="79F21EA6" w:rsidR="0049067F" w:rsidRPr="002F5F1C" w:rsidRDefault="0049067F" w:rsidP="0049067F">
      <w:pPr>
        <w:pStyle w:val="FootnoteText"/>
        <w:rPr>
          <w:lang w:val="en-GB"/>
        </w:rPr>
      </w:pPr>
      <w:r w:rsidRPr="002F5F1C">
        <w:rPr>
          <w:rStyle w:val="FootnoteReference"/>
        </w:rPr>
        <w:footnoteRef/>
      </w:r>
      <w:r w:rsidRPr="002F5F1C">
        <w:t xml:space="preserve"> </w:t>
      </w:r>
      <w:r w:rsidR="00F6047B" w:rsidRPr="002F5F1C">
        <w:t>Dutton, </w:t>
      </w:r>
      <w:r w:rsidR="00F6047B" w:rsidRPr="002F5F1C">
        <w:rPr>
          <w:i/>
          <w:iCs/>
        </w:rPr>
        <w:t xml:space="preserve">Citizenship in Australia, </w:t>
      </w:r>
      <w:r w:rsidR="00F6047B" w:rsidRPr="002F5F1C">
        <w:t xml:space="preserve">above n </w:t>
      </w:r>
      <w:r w:rsidR="00F6047B">
        <w:t>78</w:t>
      </w:r>
      <w:r w:rsidR="00F6047B" w:rsidRPr="002F5F1C">
        <w:t>,</w:t>
      </w:r>
      <w:r w:rsidR="00F6047B">
        <w:t xml:space="preserve"> </w:t>
      </w:r>
      <w:r w:rsidRPr="002F5F1C">
        <w:t>16.</w:t>
      </w:r>
    </w:p>
  </w:footnote>
  <w:footnote w:id="101">
    <w:p w14:paraId="3CE71AD2" w14:textId="77777777" w:rsidR="0049067F" w:rsidRPr="002F5F1C" w:rsidRDefault="0049067F" w:rsidP="0049067F">
      <w:pPr>
        <w:pStyle w:val="FootnoteText"/>
      </w:pPr>
      <w:r w:rsidRPr="002F5F1C">
        <w:rPr>
          <w:rStyle w:val="FootnoteReference"/>
        </w:rPr>
        <w:footnoteRef/>
      </w:r>
      <w:r w:rsidRPr="002F5F1C">
        <w:t xml:space="preserve"> Ibid.</w:t>
      </w:r>
    </w:p>
  </w:footnote>
  <w:footnote w:id="102">
    <w:p w14:paraId="08FCC99A" w14:textId="77777777" w:rsidR="0049067F" w:rsidRPr="002F5F1C" w:rsidRDefault="0049067F" w:rsidP="0049067F">
      <w:pPr>
        <w:pStyle w:val="FootnoteText"/>
      </w:pPr>
      <w:r w:rsidRPr="002F5F1C">
        <w:rPr>
          <w:rStyle w:val="FootnoteReference"/>
        </w:rPr>
        <w:footnoteRef/>
      </w:r>
      <w:r w:rsidRPr="002F5F1C">
        <w:t xml:space="preserve"> </w:t>
      </w:r>
      <w:r w:rsidRPr="002F5F1C">
        <w:rPr>
          <w:i/>
          <w:iCs/>
          <w:lang w:eastAsia="en-AU"/>
        </w:rPr>
        <w:t>Royal Style and Titles Act 1973</w:t>
      </w:r>
      <w:r w:rsidRPr="002F5F1C">
        <w:rPr>
          <w:lang w:eastAsia="en-AU"/>
        </w:rPr>
        <w:t xml:space="preserve"> (Cth).</w:t>
      </w:r>
    </w:p>
  </w:footnote>
  <w:footnote w:id="103">
    <w:p w14:paraId="64CECE38" w14:textId="77777777" w:rsidR="0049067F" w:rsidRPr="002F5F1C" w:rsidRDefault="0049067F" w:rsidP="0049067F">
      <w:pPr>
        <w:pStyle w:val="FootnoteText"/>
      </w:pPr>
      <w:r w:rsidRPr="002F5F1C">
        <w:rPr>
          <w:rStyle w:val="FootnoteReference"/>
        </w:rPr>
        <w:footnoteRef/>
      </w:r>
      <w:r w:rsidRPr="002F5F1C">
        <w:t xml:space="preserve"> </w:t>
      </w:r>
      <w:proofErr w:type="gramStart"/>
      <w:r w:rsidRPr="002F5F1C">
        <w:rPr>
          <w:lang w:eastAsia="en-AU"/>
        </w:rPr>
        <w:t xml:space="preserve">Ibid  </w:t>
      </w:r>
      <w:r w:rsidRPr="002F5F1C">
        <w:t>s</w:t>
      </w:r>
      <w:proofErr w:type="gramEnd"/>
      <w:r w:rsidRPr="002F5F1C">
        <w:t xml:space="preserve"> 2.</w:t>
      </w:r>
    </w:p>
  </w:footnote>
  <w:footnote w:id="104">
    <w:p w14:paraId="6CCA19CD" w14:textId="443DD829" w:rsidR="0049067F" w:rsidRPr="002F5F1C" w:rsidRDefault="0049067F" w:rsidP="0049067F">
      <w:pPr>
        <w:pStyle w:val="FootnoteText"/>
      </w:pPr>
      <w:r w:rsidRPr="002F5F1C">
        <w:rPr>
          <w:rStyle w:val="FootnoteReference"/>
        </w:rPr>
        <w:footnoteRef/>
      </w:r>
      <w:r w:rsidRPr="002F5F1C">
        <w:t xml:space="preserve"> </w:t>
      </w:r>
      <w:proofErr w:type="spellStart"/>
      <w:r w:rsidRPr="002F5F1C">
        <w:t>Arcioni</w:t>
      </w:r>
      <w:proofErr w:type="spellEnd"/>
      <w:r w:rsidRPr="002F5F1C">
        <w:t xml:space="preserve">, </w:t>
      </w:r>
      <w:r w:rsidRPr="002F5F1C">
        <w:rPr>
          <w:i/>
          <w:iCs/>
        </w:rPr>
        <w:t>‘The people’ in the Australian Constitution</w:t>
      </w:r>
      <w:r w:rsidRPr="002F5F1C">
        <w:t xml:space="preserve">, above n </w:t>
      </w:r>
      <w:r w:rsidR="00E7454F">
        <w:t>36</w:t>
      </w:r>
      <w:r w:rsidRPr="002F5F1C">
        <w:t>, 216.</w:t>
      </w:r>
    </w:p>
  </w:footnote>
  <w:footnote w:id="105">
    <w:p w14:paraId="204CB70D" w14:textId="77777777" w:rsidR="0049067F" w:rsidRPr="002F5F1C" w:rsidRDefault="0049067F" w:rsidP="0049067F">
      <w:pPr>
        <w:pStyle w:val="FootnoteText"/>
      </w:pPr>
      <w:r w:rsidRPr="002F5F1C">
        <w:rPr>
          <w:rStyle w:val="FootnoteReference"/>
        </w:rPr>
        <w:footnoteRef/>
      </w:r>
      <w:r w:rsidRPr="002F5F1C">
        <w:t xml:space="preserve"> Anne Twomey, </w:t>
      </w:r>
      <w:r w:rsidRPr="002F5F1C">
        <w:rPr>
          <w:i/>
          <w:iCs/>
        </w:rPr>
        <w:t>The Australia Acts 1986: Australia's Statutes of Independence</w:t>
      </w:r>
      <w:r w:rsidRPr="002F5F1C">
        <w:t xml:space="preserve"> (The Federation Press, 2010) 453.</w:t>
      </w:r>
    </w:p>
  </w:footnote>
  <w:footnote w:id="106">
    <w:p w14:paraId="3A171EA7"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 xml:space="preserve">R v Foreign Secretary; Ex </w:t>
      </w:r>
      <w:proofErr w:type="spellStart"/>
      <w:r w:rsidRPr="002F5F1C">
        <w:rPr>
          <w:i/>
          <w:iCs/>
        </w:rPr>
        <w:t>parte</w:t>
      </w:r>
      <w:proofErr w:type="spellEnd"/>
      <w:r w:rsidRPr="002F5F1C">
        <w:rPr>
          <w:i/>
          <w:iCs/>
        </w:rPr>
        <w:t xml:space="preserve"> Indian Association</w:t>
      </w:r>
      <w:r w:rsidRPr="002F5F1C">
        <w:t xml:space="preserve"> [1982] QB 892.</w:t>
      </w:r>
    </w:p>
  </w:footnote>
  <w:footnote w:id="107">
    <w:p w14:paraId="23FFB799" w14:textId="77777777" w:rsidR="0049067F" w:rsidRPr="002F5F1C" w:rsidRDefault="0049067F" w:rsidP="0049067F">
      <w:pPr>
        <w:pStyle w:val="FootnoteText"/>
      </w:pPr>
      <w:r w:rsidRPr="002F5F1C">
        <w:rPr>
          <w:rStyle w:val="FootnoteReference"/>
        </w:rPr>
        <w:footnoteRef/>
      </w:r>
      <w:r w:rsidRPr="002F5F1C">
        <w:t xml:space="preserve"> Ibid 928.</w:t>
      </w:r>
    </w:p>
  </w:footnote>
  <w:footnote w:id="108">
    <w:p w14:paraId="243334A3" w14:textId="77777777" w:rsidR="0049067F" w:rsidRPr="002F5F1C" w:rsidRDefault="0049067F" w:rsidP="0049067F">
      <w:pPr>
        <w:pStyle w:val="FootnoteText"/>
      </w:pPr>
      <w:r w:rsidRPr="002F5F1C">
        <w:rPr>
          <w:rStyle w:val="FootnoteReference"/>
        </w:rPr>
        <w:footnoteRef/>
      </w:r>
      <w:r w:rsidRPr="002F5F1C">
        <w:t xml:space="preserve"> </w:t>
      </w:r>
      <w:r w:rsidRPr="002F5F1C">
        <w:rPr>
          <w:i/>
        </w:rPr>
        <w:t>Australian Citizenship Amendment Act 1984</w:t>
      </w:r>
      <w:r w:rsidRPr="002F5F1C">
        <w:t xml:space="preserve"> (Cth).</w:t>
      </w:r>
    </w:p>
  </w:footnote>
  <w:footnote w:id="109">
    <w:p w14:paraId="5B7712B3"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Australia Act 1986</w:t>
      </w:r>
      <w:r w:rsidRPr="002F5F1C">
        <w:t xml:space="preserve"> (Cth); </w:t>
      </w:r>
      <w:r w:rsidRPr="002F5F1C">
        <w:rPr>
          <w:i/>
          <w:iCs/>
        </w:rPr>
        <w:t>Australia Act 1986</w:t>
      </w:r>
      <w:r w:rsidRPr="002F5F1C">
        <w:t xml:space="preserve"> (UK) (‘</w:t>
      </w:r>
      <w:r w:rsidRPr="002F5F1C">
        <w:rPr>
          <w:i/>
          <w:iCs/>
        </w:rPr>
        <w:t>Australia Acts</w:t>
      </w:r>
      <w:r w:rsidRPr="002F5F1C">
        <w:t>’).</w:t>
      </w:r>
    </w:p>
  </w:footnote>
  <w:footnote w:id="110">
    <w:p w14:paraId="021553CB" w14:textId="77777777" w:rsidR="0049067F" w:rsidRPr="002F5F1C" w:rsidRDefault="0049067F" w:rsidP="0049067F">
      <w:pPr>
        <w:pStyle w:val="FootnoteText"/>
      </w:pPr>
      <w:r w:rsidRPr="002F5F1C">
        <w:rPr>
          <w:rStyle w:val="FootnoteReference"/>
        </w:rPr>
        <w:footnoteRef/>
      </w:r>
      <w:r w:rsidRPr="002F5F1C">
        <w:t xml:space="preserve"> Anne Twomey, ‘Independence’ in Cheryl Saunders, Adrienne Stone (</w:t>
      </w:r>
      <w:proofErr w:type="spellStart"/>
      <w:r w:rsidRPr="002F5F1C">
        <w:t>eds</w:t>
      </w:r>
      <w:proofErr w:type="spellEnd"/>
      <w:r w:rsidRPr="002F5F1C">
        <w:t>), </w:t>
      </w:r>
      <w:r w:rsidRPr="002F5F1C">
        <w:rPr>
          <w:i/>
          <w:iCs/>
        </w:rPr>
        <w:t>The Oxford Handbook of the Australian Constitution</w:t>
      </w:r>
      <w:r w:rsidRPr="002F5F1C">
        <w:t xml:space="preserve"> (Oxford University Press, 2018) 96, 110.</w:t>
      </w:r>
    </w:p>
  </w:footnote>
  <w:footnote w:id="111">
    <w:p w14:paraId="073C4267" w14:textId="77777777" w:rsidR="0049067F" w:rsidRPr="002F5F1C" w:rsidRDefault="0049067F" w:rsidP="0049067F">
      <w:pPr>
        <w:pStyle w:val="FootnoteText"/>
      </w:pPr>
      <w:r w:rsidRPr="002F5F1C">
        <w:rPr>
          <w:rStyle w:val="FootnoteReference"/>
        </w:rPr>
        <w:footnoteRef/>
      </w:r>
      <w:r w:rsidRPr="002F5F1C">
        <w:t xml:space="preserve"> </w:t>
      </w:r>
      <w:r w:rsidRPr="002F5F1C">
        <w:rPr>
          <w:i/>
        </w:rPr>
        <w:t>Australian Citizenship Amendment Act 1986</w:t>
      </w:r>
      <w:r w:rsidRPr="002F5F1C">
        <w:t xml:space="preserve"> (Cth).</w:t>
      </w:r>
    </w:p>
  </w:footnote>
  <w:footnote w:id="112">
    <w:p w14:paraId="2DCC30FA" w14:textId="77777777" w:rsidR="0049067F" w:rsidRPr="002F5F1C" w:rsidRDefault="0049067F" w:rsidP="0049067F">
      <w:pPr>
        <w:pStyle w:val="FootnoteText"/>
      </w:pPr>
      <w:r w:rsidRPr="002F5F1C">
        <w:rPr>
          <w:rStyle w:val="FootnoteReference"/>
        </w:rPr>
        <w:footnoteRef/>
      </w:r>
      <w:r w:rsidRPr="002F5F1C">
        <w:t xml:space="preserve"> </w:t>
      </w:r>
      <w:r w:rsidRPr="002F5F1C">
        <w:rPr>
          <w:i/>
          <w:lang w:eastAsia="en-AU"/>
        </w:rPr>
        <w:t xml:space="preserve"> </w:t>
      </w:r>
      <w:r w:rsidRPr="002F5F1C">
        <w:t>(1985) 159 CLR 550 (‘</w:t>
      </w:r>
      <w:r w:rsidRPr="002F5F1C">
        <w:rPr>
          <w:i/>
          <w:iCs/>
        </w:rPr>
        <w:t>Kioa v West</w:t>
      </w:r>
      <w:r w:rsidRPr="002F5F1C">
        <w:t>’).</w:t>
      </w:r>
    </w:p>
  </w:footnote>
  <w:footnote w:id="113">
    <w:p w14:paraId="0D7FC333" w14:textId="30937EDC" w:rsidR="0049067F" w:rsidRPr="002F5F1C" w:rsidRDefault="0049067F" w:rsidP="0049067F">
      <w:pPr>
        <w:pStyle w:val="FootnoteText"/>
      </w:pPr>
      <w:r w:rsidRPr="002F5F1C">
        <w:rPr>
          <w:rStyle w:val="FootnoteReference"/>
        </w:rPr>
        <w:footnoteRef/>
      </w:r>
      <w:r w:rsidRPr="002F5F1C">
        <w:t xml:space="preserve"> Rubenstein, ‘Citizenship and the Centenary’, above n </w:t>
      </w:r>
      <w:r w:rsidR="00220DC0">
        <w:t>29</w:t>
      </w:r>
      <w:r w:rsidRPr="002F5F1C">
        <w:t>.</w:t>
      </w:r>
    </w:p>
  </w:footnote>
  <w:footnote w:id="114">
    <w:p w14:paraId="797044B1" w14:textId="77777777" w:rsidR="0049067F" w:rsidRPr="002F5F1C" w:rsidRDefault="0049067F" w:rsidP="0049067F">
      <w:pPr>
        <w:pStyle w:val="FootnoteText"/>
      </w:pPr>
      <w:r w:rsidRPr="002F5F1C">
        <w:rPr>
          <w:rStyle w:val="FootnoteReference"/>
        </w:rPr>
        <w:footnoteRef/>
      </w:r>
      <w:r w:rsidRPr="002F5F1C">
        <w:t xml:space="preserve"> </w:t>
      </w:r>
      <w:r w:rsidRPr="002F5F1C">
        <w:rPr>
          <w:i/>
          <w:iCs/>
        </w:rPr>
        <w:t>Kioa v West</w:t>
      </w:r>
      <w:r w:rsidRPr="002F5F1C">
        <w:t>, 559, 588, 603, 629, 634.</w:t>
      </w:r>
    </w:p>
  </w:footnote>
  <w:footnote w:id="115">
    <w:p w14:paraId="63083598" w14:textId="77777777" w:rsidR="0049067F" w:rsidRPr="002F5F1C" w:rsidRDefault="0049067F" w:rsidP="0049067F">
      <w:pPr>
        <w:pStyle w:val="FootnoteText"/>
      </w:pPr>
      <w:r w:rsidRPr="002F5F1C">
        <w:rPr>
          <w:rStyle w:val="FootnoteReference"/>
        </w:rPr>
        <w:footnoteRef/>
      </w:r>
      <w:r w:rsidRPr="002F5F1C">
        <w:t xml:space="preserve"> Commonwealth, </w:t>
      </w:r>
      <w:r w:rsidRPr="002F5F1C">
        <w:rPr>
          <w:i/>
        </w:rPr>
        <w:t>Parliamentary Debates</w:t>
      </w:r>
      <w:r w:rsidRPr="002F5F1C">
        <w:t>, House of Representatives, 27 May 1986, 4052 (Alan Cadman).</w:t>
      </w:r>
    </w:p>
  </w:footnote>
  <w:footnote w:id="116">
    <w:p w14:paraId="4CFCF10B" w14:textId="578113A2" w:rsidR="0049067F" w:rsidRPr="00FC458C" w:rsidRDefault="0049067F" w:rsidP="00FC458C">
      <w:pPr>
        <w:pStyle w:val="FootnoteText"/>
        <w:rPr>
          <w:i/>
          <w:iCs/>
        </w:rPr>
      </w:pPr>
      <w:r w:rsidRPr="002F5F1C">
        <w:rPr>
          <w:rStyle w:val="FootnoteReference"/>
        </w:rPr>
        <w:footnoteRef/>
      </w:r>
      <w:r w:rsidRPr="002F5F1C">
        <w:t xml:space="preserve"> See also </w:t>
      </w:r>
      <w:r w:rsidR="00FC458C" w:rsidRPr="00FC458C">
        <w:rPr>
          <w:i/>
          <w:iCs/>
        </w:rPr>
        <w:t>Singh v Commonwealth (2004) 222 CLR 322</w:t>
      </w:r>
      <w:r w:rsidRPr="002F5F1C">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67F"/>
    <w:rsid w:val="000047BE"/>
    <w:rsid w:val="00005837"/>
    <w:rsid w:val="00025D8F"/>
    <w:rsid w:val="00035D15"/>
    <w:rsid w:val="00042DE6"/>
    <w:rsid w:val="000436C9"/>
    <w:rsid w:val="000445D8"/>
    <w:rsid w:val="00046D84"/>
    <w:rsid w:val="00051BCF"/>
    <w:rsid w:val="00052002"/>
    <w:rsid w:val="00053ADE"/>
    <w:rsid w:val="00062B20"/>
    <w:rsid w:val="00065B36"/>
    <w:rsid w:val="000718DE"/>
    <w:rsid w:val="00072A6D"/>
    <w:rsid w:val="00075052"/>
    <w:rsid w:val="00082A63"/>
    <w:rsid w:val="00093134"/>
    <w:rsid w:val="000A0B0D"/>
    <w:rsid w:val="000A4B81"/>
    <w:rsid w:val="000A5CD3"/>
    <w:rsid w:val="000A6C2A"/>
    <w:rsid w:val="000B3B21"/>
    <w:rsid w:val="000B4D62"/>
    <w:rsid w:val="000B642B"/>
    <w:rsid w:val="000C1598"/>
    <w:rsid w:val="000C2352"/>
    <w:rsid w:val="000C4F3A"/>
    <w:rsid w:val="000C633D"/>
    <w:rsid w:val="000D7C59"/>
    <w:rsid w:val="000E037B"/>
    <w:rsid w:val="000E0F0F"/>
    <w:rsid w:val="000E3D06"/>
    <w:rsid w:val="000F594A"/>
    <w:rsid w:val="000F6B59"/>
    <w:rsid w:val="00113A96"/>
    <w:rsid w:val="00115B34"/>
    <w:rsid w:val="0013273C"/>
    <w:rsid w:val="001340B4"/>
    <w:rsid w:val="001366C9"/>
    <w:rsid w:val="00143B6C"/>
    <w:rsid w:val="00154B35"/>
    <w:rsid w:val="00156564"/>
    <w:rsid w:val="00160F59"/>
    <w:rsid w:val="00162406"/>
    <w:rsid w:val="00163692"/>
    <w:rsid w:val="00164DA5"/>
    <w:rsid w:val="00165360"/>
    <w:rsid w:val="001659E3"/>
    <w:rsid w:val="00166ED6"/>
    <w:rsid w:val="0017015B"/>
    <w:rsid w:val="0017084B"/>
    <w:rsid w:val="00173670"/>
    <w:rsid w:val="0017652E"/>
    <w:rsid w:val="00177DB5"/>
    <w:rsid w:val="00182F01"/>
    <w:rsid w:val="00185EE8"/>
    <w:rsid w:val="00194A2D"/>
    <w:rsid w:val="001A10FB"/>
    <w:rsid w:val="001A3F5E"/>
    <w:rsid w:val="001B180E"/>
    <w:rsid w:val="001B2CBF"/>
    <w:rsid w:val="001B4282"/>
    <w:rsid w:val="001C42B8"/>
    <w:rsid w:val="001C4F35"/>
    <w:rsid w:val="001D6B87"/>
    <w:rsid w:val="001D7E9B"/>
    <w:rsid w:val="001E1AE2"/>
    <w:rsid w:val="001F14B1"/>
    <w:rsid w:val="001F5E7B"/>
    <w:rsid w:val="00203C3D"/>
    <w:rsid w:val="00215020"/>
    <w:rsid w:val="00215546"/>
    <w:rsid w:val="00220DC0"/>
    <w:rsid w:val="00221B07"/>
    <w:rsid w:val="002220A2"/>
    <w:rsid w:val="00225ABF"/>
    <w:rsid w:val="002265CF"/>
    <w:rsid w:val="00235DA0"/>
    <w:rsid w:val="00242F6F"/>
    <w:rsid w:val="0024720E"/>
    <w:rsid w:val="0026083B"/>
    <w:rsid w:val="002672AF"/>
    <w:rsid w:val="002702E3"/>
    <w:rsid w:val="0028615E"/>
    <w:rsid w:val="00290266"/>
    <w:rsid w:val="00293F74"/>
    <w:rsid w:val="0029436E"/>
    <w:rsid w:val="0029449C"/>
    <w:rsid w:val="002A1A6D"/>
    <w:rsid w:val="002A4D62"/>
    <w:rsid w:val="002A5EAB"/>
    <w:rsid w:val="002B67BF"/>
    <w:rsid w:val="002B73A9"/>
    <w:rsid w:val="002B7859"/>
    <w:rsid w:val="002C1BA3"/>
    <w:rsid w:val="002C2FE8"/>
    <w:rsid w:val="002D4B6D"/>
    <w:rsid w:val="002D53F6"/>
    <w:rsid w:val="002D6DEB"/>
    <w:rsid w:val="002F000B"/>
    <w:rsid w:val="002F0B78"/>
    <w:rsid w:val="002F37A7"/>
    <w:rsid w:val="002F4837"/>
    <w:rsid w:val="0030324A"/>
    <w:rsid w:val="00306104"/>
    <w:rsid w:val="00306350"/>
    <w:rsid w:val="00313A45"/>
    <w:rsid w:val="003145E1"/>
    <w:rsid w:val="00322630"/>
    <w:rsid w:val="00324344"/>
    <w:rsid w:val="00325B6E"/>
    <w:rsid w:val="00330820"/>
    <w:rsid w:val="00343635"/>
    <w:rsid w:val="003477C8"/>
    <w:rsid w:val="0036518A"/>
    <w:rsid w:val="00367B39"/>
    <w:rsid w:val="003720B9"/>
    <w:rsid w:val="00374A88"/>
    <w:rsid w:val="0037541D"/>
    <w:rsid w:val="00381A14"/>
    <w:rsid w:val="003855A5"/>
    <w:rsid w:val="003856C0"/>
    <w:rsid w:val="00386025"/>
    <w:rsid w:val="0039339C"/>
    <w:rsid w:val="0039397F"/>
    <w:rsid w:val="003941D0"/>
    <w:rsid w:val="00394DFA"/>
    <w:rsid w:val="003A3C68"/>
    <w:rsid w:val="003A6E65"/>
    <w:rsid w:val="003B691F"/>
    <w:rsid w:val="003B78FE"/>
    <w:rsid w:val="003C1842"/>
    <w:rsid w:val="003C1C09"/>
    <w:rsid w:val="003C3D6B"/>
    <w:rsid w:val="003C503B"/>
    <w:rsid w:val="003D37AC"/>
    <w:rsid w:val="003E1BE1"/>
    <w:rsid w:val="003E3439"/>
    <w:rsid w:val="003E3DB4"/>
    <w:rsid w:val="003E5C92"/>
    <w:rsid w:val="003F4266"/>
    <w:rsid w:val="00401BAD"/>
    <w:rsid w:val="00406F37"/>
    <w:rsid w:val="00413BBF"/>
    <w:rsid w:val="0041696B"/>
    <w:rsid w:val="004226F5"/>
    <w:rsid w:val="00430F8B"/>
    <w:rsid w:val="00434F3D"/>
    <w:rsid w:val="00441756"/>
    <w:rsid w:val="0044204D"/>
    <w:rsid w:val="00443894"/>
    <w:rsid w:val="00444067"/>
    <w:rsid w:val="00445A7C"/>
    <w:rsid w:val="00447E38"/>
    <w:rsid w:val="004527F3"/>
    <w:rsid w:val="00454D28"/>
    <w:rsid w:val="00461842"/>
    <w:rsid w:val="004643E2"/>
    <w:rsid w:val="004671BA"/>
    <w:rsid w:val="0046763C"/>
    <w:rsid w:val="00471C3A"/>
    <w:rsid w:val="004734C5"/>
    <w:rsid w:val="0047688C"/>
    <w:rsid w:val="0047793E"/>
    <w:rsid w:val="0048315E"/>
    <w:rsid w:val="0048729A"/>
    <w:rsid w:val="0049067F"/>
    <w:rsid w:val="00492694"/>
    <w:rsid w:val="004954EB"/>
    <w:rsid w:val="004A2A6C"/>
    <w:rsid w:val="004A471C"/>
    <w:rsid w:val="004A7CA7"/>
    <w:rsid w:val="004C095B"/>
    <w:rsid w:val="004C2000"/>
    <w:rsid w:val="004D509F"/>
    <w:rsid w:val="004D568D"/>
    <w:rsid w:val="004D66FF"/>
    <w:rsid w:val="004D6934"/>
    <w:rsid w:val="004E0229"/>
    <w:rsid w:val="004E3B7D"/>
    <w:rsid w:val="004E7D3F"/>
    <w:rsid w:val="004F5E46"/>
    <w:rsid w:val="005047F1"/>
    <w:rsid w:val="00507D49"/>
    <w:rsid w:val="00511153"/>
    <w:rsid w:val="00511C8B"/>
    <w:rsid w:val="00512756"/>
    <w:rsid w:val="005149BA"/>
    <w:rsid w:val="00520FFD"/>
    <w:rsid w:val="00522E0C"/>
    <w:rsid w:val="00523FC8"/>
    <w:rsid w:val="0052566D"/>
    <w:rsid w:val="0052639B"/>
    <w:rsid w:val="00527BB2"/>
    <w:rsid w:val="0053170A"/>
    <w:rsid w:val="00532CB7"/>
    <w:rsid w:val="00533BEC"/>
    <w:rsid w:val="00534367"/>
    <w:rsid w:val="00536FDD"/>
    <w:rsid w:val="00547E1F"/>
    <w:rsid w:val="00550555"/>
    <w:rsid w:val="005530B8"/>
    <w:rsid w:val="00554FE3"/>
    <w:rsid w:val="0056469B"/>
    <w:rsid w:val="00564A40"/>
    <w:rsid w:val="00565818"/>
    <w:rsid w:val="005659B2"/>
    <w:rsid w:val="0057096B"/>
    <w:rsid w:val="00571C8F"/>
    <w:rsid w:val="00572B65"/>
    <w:rsid w:val="00574438"/>
    <w:rsid w:val="005759C2"/>
    <w:rsid w:val="00583A6D"/>
    <w:rsid w:val="005855B3"/>
    <w:rsid w:val="00590C5A"/>
    <w:rsid w:val="005A020C"/>
    <w:rsid w:val="005A2289"/>
    <w:rsid w:val="005A4BE2"/>
    <w:rsid w:val="005A5F4B"/>
    <w:rsid w:val="005B0420"/>
    <w:rsid w:val="005B43B0"/>
    <w:rsid w:val="005C0FD5"/>
    <w:rsid w:val="005C1483"/>
    <w:rsid w:val="005C14DE"/>
    <w:rsid w:val="005C1960"/>
    <w:rsid w:val="005C207C"/>
    <w:rsid w:val="005D02CA"/>
    <w:rsid w:val="005D1F5E"/>
    <w:rsid w:val="005F48F9"/>
    <w:rsid w:val="005F48FE"/>
    <w:rsid w:val="005F790D"/>
    <w:rsid w:val="00602D59"/>
    <w:rsid w:val="00617068"/>
    <w:rsid w:val="006208D1"/>
    <w:rsid w:val="00623C5A"/>
    <w:rsid w:val="00625B56"/>
    <w:rsid w:val="00630819"/>
    <w:rsid w:val="00632B02"/>
    <w:rsid w:val="00634191"/>
    <w:rsid w:val="00635959"/>
    <w:rsid w:val="006412B6"/>
    <w:rsid w:val="0064272A"/>
    <w:rsid w:val="0064274A"/>
    <w:rsid w:val="00644546"/>
    <w:rsid w:val="006463F9"/>
    <w:rsid w:val="006478DC"/>
    <w:rsid w:val="006506FC"/>
    <w:rsid w:val="00653353"/>
    <w:rsid w:val="006603AB"/>
    <w:rsid w:val="006752E1"/>
    <w:rsid w:val="006807E2"/>
    <w:rsid w:val="00681971"/>
    <w:rsid w:val="00682C10"/>
    <w:rsid w:val="00682D71"/>
    <w:rsid w:val="0068762F"/>
    <w:rsid w:val="00690A5B"/>
    <w:rsid w:val="00694C52"/>
    <w:rsid w:val="00694DF3"/>
    <w:rsid w:val="0069586B"/>
    <w:rsid w:val="00697D7E"/>
    <w:rsid w:val="006A1FF2"/>
    <w:rsid w:val="006B22B3"/>
    <w:rsid w:val="006B4E3B"/>
    <w:rsid w:val="006C075D"/>
    <w:rsid w:val="006C50E7"/>
    <w:rsid w:val="006D12FF"/>
    <w:rsid w:val="006E6B0B"/>
    <w:rsid w:val="006E6FAE"/>
    <w:rsid w:val="006F15F6"/>
    <w:rsid w:val="006F5424"/>
    <w:rsid w:val="006F58CE"/>
    <w:rsid w:val="00702BB0"/>
    <w:rsid w:val="00705F06"/>
    <w:rsid w:val="00707A90"/>
    <w:rsid w:val="00713071"/>
    <w:rsid w:val="00716218"/>
    <w:rsid w:val="00723529"/>
    <w:rsid w:val="00723B6C"/>
    <w:rsid w:val="00724130"/>
    <w:rsid w:val="00725EEF"/>
    <w:rsid w:val="00727C3E"/>
    <w:rsid w:val="00733D1B"/>
    <w:rsid w:val="00744B28"/>
    <w:rsid w:val="0074571A"/>
    <w:rsid w:val="0075218F"/>
    <w:rsid w:val="0075309D"/>
    <w:rsid w:val="0075591C"/>
    <w:rsid w:val="0076353C"/>
    <w:rsid w:val="00765A34"/>
    <w:rsid w:val="007663FF"/>
    <w:rsid w:val="007667B3"/>
    <w:rsid w:val="00770EAB"/>
    <w:rsid w:val="007755DA"/>
    <w:rsid w:val="00777231"/>
    <w:rsid w:val="00796019"/>
    <w:rsid w:val="007A2B32"/>
    <w:rsid w:val="007A4451"/>
    <w:rsid w:val="007A49BC"/>
    <w:rsid w:val="007A7DBB"/>
    <w:rsid w:val="007B0EE1"/>
    <w:rsid w:val="007B151A"/>
    <w:rsid w:val="007C4B35"/>
    <w:rsid w:val="007C5438"/>
    <w:rsid w:val="007D39D7"/>
    <w:rsid w:val="007D46B5"/>
    <w:rsid w:val="007D6B12"/>
    <w:rsid w:val="007E182A"/>
    <w:rsid w:val="007E595B"/>
    <w:rsid w:val="007E71AC"/>
    <w:rsid w:val="007F07D6"/>
    <w:rsid w:val="007F18D0"/>
    <w:rsid w:val="00800117"/>
    <w:rsid w:val="0081310D"/>
    <w:rsid w:val="008219F8"/>
    <w:rsid w:val="00823010"/>
    <w:rsid w:val="008271C8"/>
    <w:rsid w:val="00831F94"/>
    <w:rsid w:val="00833DDB"/>
    <w:rsid w:val="00842EC1"/>
    <w:rsid w:val="008458BC"/>
    <w:rsid w:val="00846808"/>
    <w:rsid w:val="008654D4"/>
    <w:rsid w:val="00867F66"/>
    <w:rsid w:val="00871B01"/>
    <w:rsid w:val="00872EC4"/>
    <w:rsid w:val="0088254B"/>
    <w:rsid w:val="00882E02"/>
    <w:rsid w:val="00892F7B"/>
    <w:rsid w:val="0089565A"/>
    <w:rsid w:val="008A0E13"/>
    <w:rsid w:val="008A3674"/>
    <w:rsid w:val="008B07DD"/>
    <w:rsid w:val="008B4AC7"/>
    <w:rsid w:val="008C2575"/>
    <w:rsid w:val="008C6CFF"/>
    <w:rsid w:val="008D27FA"/>
    <w:rsid w:val="008D3519"/>
    <w:rsid w:val="008D7807"/>
    <w:rsid w:val="008D7E65"/>
    <w:rsid w:val="008E261A"/>
    <w:rsid w:val="008E6D18"/>
    <w:rsid w:val="008E7C58"/>
    <w:rsid w:val="008F4FCF"/>
    <w:rsid w:val="008F6328"/>
    <w:rsid w:val="00906A3F"/>
    <w:rsid w:val="00923264"/>
    <w:rsid w:val="00923D6E"/>
    <w:rsid w:val="00924A73"/>
    <w:rsid w:val="00927248"/>
    <w:rsid w:val="00931F79"/>
    <w:rsid w:val="009363AB"/>
    <w:rsid w:val="009503A3"/>
    <w:rsid w:val="009509AB"/>
    <w:rsid w:val="009527EA"/>
    <w:rsid w:val="00956774"/>
    <w:rsid w:val="0096133B"/>
    <w:rsid w:val="00963F70"/>
    <w:rsid w:val="009657CB"/>
    <w:rsid w:val="00967595"/>
    <w:rsid w:val="00974CAB"/>
    <w:rsid w:val="00975277"/>
    <w:rsid w:val="0097619B"/>
    <w:rsid w:val="00982798"/>
    <w:rsid w:val="00983108"/>
    <w:rsid w:val="0098337A"/>
    <w:rsid w:val="00990A19"/>
    <w:rsid w:val="009A2648"/>
    <w:rsid w:val="009A7E4B"/>
    <w:rsid w:val="009B194A"/>
    <w:rsid w:val="009B45FC"/>
    <w:rsid w:val="009B6426"/>
    <w:rsid w:val="009C5A62"/>
    <w:rsid w:val="009D1E50"/>
    <w:rsid w:val="009D647D"/>
    <w:rsid w:val="009E14FC"/>
    <w:rsid w:val="00A007D0"/>
    <w:rsid w:val="00A05E16"/>
    <w:rsid w:val="00A06BBB"/>
    <w:rsid w:val="00A11CE1"/>
    <w:rsid w:val="00A11F59"/>
    <w:rsid w:val="00A13403"/>
    <w:rsid w:val="00A15C56"/>
    <w:rsid w:val="00A16490"/>
    <w:rsid w:val="00A167A9"/>
    <w:rsid w:val="00A215B7"/>
    <w:rsid w:val="00A26D28"/>
    <w:rsid w:val="00A31BBB"/>
    <w:rsid w:val="00A338B9"/>
    <w:rsid w:val="00A439E3"/>
    <w:rsid w:val="00A55BC9"/>
    <w:rsid w:val="00A5635A"/>
    <w:rsid w:val="00A56D0E"/>
    <w:rsid w:val="00A660B7"/>
    <w:rsid w:val="00A82BB1"/>
    <w:rsid w:val="00A831A7"/>
    <w:rsid w:val="00A90670"/>
    <w:rsid w:val="00AA51C3"/>
    <w:rsid w:val="00AA7623"/>
    <w:rsid w:val="00AB62DD"/>
    <w:rsid w:val="00AB6778"/>
    <w:rsid w:val="00AC0D59"/>
    <w:rsid w:val="00AD0787"/>
    <w:rsid w:val="00AD3202"/>
    <w:rsid w:val="00AD7DB5"/>
    <w:rsid w:val="00AE4E6B"/>
    <w:rsid w:val="00AE53C6"/>
    <w:rsid w:val="00AE5D66"/>
    <w:rsid w:val="00AE61C2"/>
    <w:rsid w:val="00AF02DC"/>
    <w:rsid w:val="00AF1FFE"/>
    <w:rsid w:val="00AF7341"/>
    <w:rsid w:val="00B01853"/>
    <w:rsid w:val="00B05FCB"/>
    <w:rsid w:val="00B143E6"/>
    <w:rsid w:val="00B15377"/>
    <w:rsid w:val="00B15673"/>
    <w:rsid w:val="00B209EF"/>
    <w:rsid w:val="00B2717E"/>
    <w:rsid w:val="00B27A21"/>
    <w:rsid w:val="00B306CB"/>
    <w:rsid w:val="00B3741F"/>
    <w:rsid w:val="00B46361"/>
    <w:rsid w:val="00B553E9"/>
    <w:rsid w:val="00B55596"/>
    <w:rsid w:val="00B60034"/>
    <w:rsid w:val="00B703AB"/>
    <w:rsid w:val="00B728FE"/>
    <w:rsid w:val="00B740C5"/>
    <w:rsid w:val="00B75785"/>
    <w:rsid w:val="00B77CC9"/>
    <w:rsid w:val="00B80BDB"/>
    <w:rsid w:val="00B82ADF"/>
    <w:rsid w:val="00B86EBC"/>
    <w:rsid w:val="00B90EBF"/>
    <w:rsid w:val="00B931F7"/>
    <w:rsid w:val="00B93A8B"/>
    <w:rsid w:val="00BA06DA"/>
    <w:rsid w:val="00BA0E4E"/>
    <w:rsid w:val="00BA12B2"/>
    <w:rsid w:val="00BA2013"/>
    <w:rsid w:val="00BA3AD4"/>
    <w:rsid w:val="00BA4715"/>
    <w:rsid w:val="00BC00DB"/>
    <w:rsid w:val="00BC0134"/>
    <w:rsid w:val="00BC280F"/>
    <w:rsid w:val="00BC5949"/>
    <w:rsid w:val="00BD29D0"/>
    <w:rsid w:val="00BD30CC"/>
    <w:rsid w:val="00BE26F0"/>
    <w:rsid w:val="00BE4F84"/>
    <w:rsid w:val="00BE5CA7"/>
    <w:rsid w:val="00BE72EA"/>
    <w:rsid w:val="00BF0E0E"/>
    <w:rsid w:val="00BF2FC6"/>
    <w:rsid w:val="00BF74D3"/>
    <w:rsid w:val="00C01569"/>
    <w:rsid w:val="00C01FB9"/>
    <w:rsid w:val="00C04D0D"/>
    <w:rsid w:val="00C102D1"/>
    <w:rsid w:val="00C1753C"/>
    <w:rsid w:val="00C209E7"/>
    <w:rsid w:val="00C20C9C"/>
    <w:rsid w:val="00C25787"/>
    <w:rsid w:val="00C31CC8"/>
    <w:rsid w:val="00C3368E"/>
    <w:rsid w:val="00C34978"/>
    <w:rsid w:val="00C351E3"/>
    <w:rsid w:val="00C444A6"/>
    <w:rsid w:val="00C64EF7"/>
    <w:rsid w:val="00C660BE"/>
    <w:rsid w:val="00C86C18"/>
    <w:rsid w:val="00C87743"/>
    <w:rsid w:val="00C9264F"/>
    <w:rsid w:val="00C95344"/>
    <w:rsid w:val="00C977DF"/>
    <w:rsid w:val="00CA5D58"/>
    <w:rsid w:val="00CA7DE3"/>
    <w:rsid w:val="00CB0073"/>
    <w:rsid w:val="00CB1A78"/>
    <w:rsid w:val="00CB5389"/>
    <w:rsid w:val="00CB5588"/>
    <w:rsid w:val="00CB7BE6"/>
    <w:rsid w:val="00CC3A73"/>
    <w:rsid w:val="00CD4290"/>
    <w:rsid w:val="00CE1FF4"/>
    <w:rsid w:val="00CE2481"/>
    <w:rsid w:val="00CF7BBE"/>
    <w:rsid w:val="00D0020E"/>
    <w:rsid w:val="00D060DD"/>
    <w:rsid w:val="00D07467"/>
    <w:rsid w:val="00D076F9"/>
    <w:rsid w:val="00D108EF"/>
    <w:rsid w:val="00D1179D"/>
    <w:rsid w:val="00D146F7"/>
    <w:rsid w:val="00D20470"/>
    <w:rsid w:val="00D21573"/>
    <w:rsid w:val="00D22A14"/>
    <w:rsid w:val="00D2510D"/>
    <w:rsid w:val="00D2654D"/>
    <w:rsid w:val="00D31B86"/>
    <w:rsid w:val="00D35B99"/>
    <w:rsid w:val="00D426FB"/>
    <w:rsid w:val="00D4717D"/>
    <w:rsid w:val="00D47700"/>
    <w:rsid w:val="00D660A3"/>
    <w:rsid w:val="00D71167"/>
    <w:rsid w:val="00D76483"/>
    <w:rsid w:val="00D76D66"/>
    <w:rsid w:val="00D8095D"/>
    <w:rsid w:val="00D8276E"/>
    <w:rsid w:val="00D832E8"/>
    <w:rsid w:val="00DB7E2D"/>
    <w:rsid w:val="00DC1BF9"/>
    <w:rsid w:val="00DC25F2"/>
    <w:rsid w:val="00DC32C7"/>
    <w:rsid w:val="00DD0478"/>
    <w:rsid w:val="00DE14EB"/>
    <w:rsid w:val="00DE4783"/>
    <w:rsid w:val="00DF52E9"/>
    <w:rsid w:val="00E000F9"/>
    <w:rsid w:val="00E03AC9"/>
    <w:rsid w:val="00E03DDF"/>
    <w:rsid w:val="00E11FD9"/>
    <w:rsid w:val="00E14101"/>
    <w:rsid w:val="00E23FCA"/>
    <w:rsid w:val="00E255F6"/>
    <w:rsid w:val="00E37506"/>
    <w:rsid w:val="00E41B19"/>
    <w:rsid w:val="00E422DB"/>
    <w:rsid w:val="00E44E5E"/>
    <w:rsid w:val="00E4543C"/>
    <w:rsid w:val="00E4754A"/>
    <w:rsid w:val="00E56F1F"/>
    <w:rsid w:val="00E57D9C"/>
    <w:rsid w:val="00E614A4"/>
    <w:rsid w:val="00E62CEF"/>
    <w:rsid w:val="00E6324F"/>
    <w:rsid w:val="00E7454F"/>
    <w:rsid w:val="00E81144"/>
    <w:rsid w:val="00E83E52"/>
    <w:rsid w:val="00E879C4"/>
    <w:rsid w:val="00E87D06"/>
    <w:rsid w:val="00E90480"/>
    <w:rsid w:val="00E9128F"/>
    <w:rsid w:val="00EA0502"/>
    <w:rsid w:val="00EA769C"/>
    <w:rsid w:val="00EB084F"/>
    <w:rsid w:val="00EB16B6"/>
    <w:rsid w:val="00EB32F9"/>
    <w:rsid w:val="00EC5D23"/>
    <w:rsid w:val="00ED4B63"/>
    <w:rsid w:val="00ED5B50"/>
    <w:rsid w:val="00ED74B6"/>
    <w:rsid w:val="00EE6B85"/>
    <w:rsid w:val="00EE6C9B"/>
    <w:rsid w:val="00EF4CC2"/>
    <w:rsid w:val="00F0019F"/>
    <w:rsid w:val="00F04E34"/>
    <w:rsid w:val="00F0642E"/>
    <w:rsid w:val="00F1580C"/>
    <w:rsid w:val="00F1591F"/>
    <w:rsid w:val="00F167A8"/>
    <w:rsid w:val="00F24173"/>
    <w:rsid w:val="00F2636E"/>
    <w:rsid w:val="00F302E1"/>
    <w:rsid w:val="00F32F8A"/>
    <w:rsid w:val="00F336E2"/>
    <w:rsid w:val="00F34FC3"/>
    <w:rsid w:val="00F351FE"/>
    <w:rsid w:val="00F35A99"/>
    <w:rsid w:val="00F460E8"/>
    <w:rsid w:val="00F51751"/>
    <w:rsid w:val="00F55C07"/>
    <w:rsid w:val="00F6047B"/>
    <w:rsid w:val="00F66C81"/>
    <w:rsid w:val="00F81004"/>
    <w:rsid w:val="00F859E4"/>
    <w:rsid w:val="00F9490B"/>
    <w:rsid w:val="00F9656F"/>
    <w:rsid w:val="00F97D17"/>
    <w:rsid w:val="00FA0159"/>
    <w:rsid w:val="00FA1CCF"/>
    <w:rsid w:val="00FA1E7F"/>
    <w:rsid w:val="00FA7D1D"/>
    <w:rsid w:val="00FB5FEE"/>
    <w:rsid w:val="00FB664F"/>
    <w:rsid w:val="00FC2548"/>
    <w:rsid w:val="00FC458C"/>
    <w:rsid w:val="00FC5DD4"/>
    <w:rsid w:val="00FD068A"/>
    <w:rsid w:val="00FD088D"/>
    <w:rsid w:val="00FD08E3"/>
    <w:rsid w:val="00FD14B2"/>
    <w:rsid w:val="00FE6BCC"/>
    <w:rsid w:val="00FE73AE"/>
    <w:rsid w:val="00FF73E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D80F11F"/>
  <w14:defaultImageDpi w14:val="32767"/>
  <w15:chartTrackingRefBased/>
  <w15:docId w15:val="{44700B38-DF10-564A-B5BF-B2334F572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9067F"/>
    <w:rPr>
      <w:rFonts w:eastAsia="Times New Roman"/>
      <w:lang w:val="en-AU"/>
    </w:rPr>
  </w:style>
  <w:style w:type="paragraph" w:styleId="Heading2">
    <w:name w:val="heading 2"/>
    <w:basedOn w:val="Normal"/>
    <w:next w:val="Normal"/>
    <w:link w:val="Heading2Char"/>
    <w:uiPriority w:val="9"/>
    <w:unhideWhenUsed/>
    <w:qFormat/>
    <w:rsid w:val="0049067F"/>
    <w:pPr>
      <w:jc w:val="center"/>
      <w:outlineLvl w:val="1"/>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067F"/>
    <w:rPr>
      <w:rFonts w:eastAsia="Times New Roman"/>
      <w:lang w:val="en-AU"/>
    </w:rPr>
  </w:style>
  <w:style w:type="paragraph" w:styleId="FootnoteText">
    <w:name w:val="footnote text"/>
    <w:basedOn w:val="Normal"/>
    <w:link w:val="FootnoteTextChar"/>
    <w:uiPriority w:val="99"/>
    <w:unhideWhenUsed/>
    <w:rsid w:val="0049067F"/>
    <w:rPr>
      <w:sz w:val="20"/>
      <w:szCs w:val="20"/>
    </w:rPr>
  </w:style>
  <w:style w:type="character" w:customStyle="1" w:styleId="FootnoteTextChar">
    <w:name w:val="Footnote Text Char"/>
    <w:basedOn w:val="DefaultParagraphFont"/>
    <w:link w:val="FootnoteText"/>
    <w:uiPriority w:val="99"/>
    <w:rsid w:val="0049067F"/>
    <w:rPr>
      <w:rFonts w:eastAsia="Times New Roman"/>
      <w:sz w:val="20"/>
      <w:szCs w:val="20"/>
      <w:lang w:val="en-AU"/>
    </w:rPr>
  </w:style>
  <w:style w:type="character" w:styleId="FootnoteReference">
    <w:name w:val="footnote reference"/>
    <w:basedOn w:val="DefaultParagraphFont"/>
    <w:uiPriority w:val="99"/>
    <w:unhideWhenUsed/>
    <w:rsid w:val="0049067F"/>
    <w:rPr>
      <w:vertAlign w:val="superscript"/>
    </w:rPr>
  </w:style>
  <w:style w:type="paragraph" w:styleId="Header">
    <w:name w:val="header"/>
    <w:basedOn w:val="Normal"/>
    <w:link w:val="HeaderChar"/>
    <w:uiPriority w:val="99"/>
    <w:unhideWhenUsed/>
    <w:rsid w:val="00846808"/>
    <w:pPr>
      <w:tabs>
        <w:tab w:val="center" w:pos="4513"/>
        <w:tab w:val="right" w:pos="9026"/>
      </w:tabs>
    </w:pPr>
  </w:style>
  <w:style w:type="character" w:customStyle="1" w:styleId="HeaderChar">
    <w:name w:val="Header Char"/>
    <w:basedOn w:val="DefaultParagraphFont"/>
    <w:link w:val="Header"/>
    <w:uiPriority w:val="99"/>
    <w:rsid w:val="00846808"/>
    <w:rPr>
      <w:rFonts w:eastAsia="Times New Roman"/>
      <w:lang w:val="en-AU"/>
    </w:rPr>
  </w:style>
  <w:style w:type="paragraph" w:styleId="Footer">
    <w:name w:val="footer"/>
    <w:basedOn w:val="Normal"/>
    <w:link w:val="FooterChar"/>
    <w:uiPriority w:val="99"/>
    <w:unhideWhenUsed/>
    <w:rsid w:val="00846808"/>
    <w:pPr>
      <w:tabs>
        <w:tab w:val="center" w:pos="4513"/>
        <w:tab w:val="right" w:pos="9026"/>
      </w:tabs>
    </w:pPr>
  </w:style>
  <w:style w:type="character" w:customStyle="1" w:styleId="FooterChar">
    <w:name w:val="Footer Char"/>
    <w:basedOn w:val="DefaultParagraphFont"/>
    <w:link w:val="Footer"/>
    <w:uiPriority w:val="99"/>
    <w:rsid w:val="00846808"/>
    <w:rPr>
      <w:rFonts w:eastAsia="Times New Roman"/>
      <w:lang w:val="en-AU"/>
    </w:rPr>
  </w:style>
  <w:style w:type="character" w:styleId="PageNumber">
    <w:name w:val="page number"/>
    <w:basedOn w:val="DefaultParagraphFont"/>
    <w:uiPriority w:val="99"/>
    <w:semiHidden/>
    <w:unhideWhenUsed/>
    <w:rsid w:val="00F351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4726</Words>
  <Characters>26944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Ruth Brown</dc:creator>
  <cp:keywords/>
  <dc:description/>
  <cp:lastModifiedBy>Rebecca Ruth Brown</cp:lastModifiedBy>
  <cp:revision>2</cp:revision>
  <dcterms:created xsi:type="dcterms:W3CDTF">2018-09-02T13:48:00Z</dcterms:created>
  <dcterms:modified xsi:type="dcterms:W3CDTF">2018-09-02T13:48:00Z</dcterms:modified>
</cp:coreProperties>
</file>